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06F03" w:rsidR="00364392" w:rsidP="00006F03" w:rsidRDefault="00006F03" w14:paraId="23CCDCD3" w14:textId="1C6C886A">
      <w:pPr>
        <w:pStyle w:val="Title"/>
        <w:rPr>
          <w:bCs/>
        </w:rPr>
      </w:pPr>
      <w:bookmarkStart w:name="_Toc508894306" w:id="0"/>
      <w:r w:rsidRPr="00006F03">
        <w:t xml:space="preserve">Annex </w:t>
      </w:r>
      <w:r w:rsidR="00CE7987">
        <w:t>II</w:t>
      </w:r>
      <w:r w:rsidRPr="00006F03">
        <w:t xml:space="preserve"> – Core TSOs general measures and action plan to avoid future cross-zonal capacity reductions</w:t>
      </w:r>
    </w:p>
    <w:p w:rsidRPr="002E2FFC" w:rsidR="00A141AD" w:rsidP="00006F03" w:rsidRDefault="00A141AD" w14:paraId="1F8CD1B0" w14:textId="77777777">
      <w:pPr>
        <w:pStyle w:val="Title"/>
        <w:rPr>
          <w:highlight w:val="yellow"/>
        </w:rPr>
      </w:pPr>
    </w:p>
    <w:p w:rsidRPr="002E2FFC" w:rsidR="00167F46" w:rsidP="00006F03" w:rsidRDefault="00167F46" w14:paraId="78551371" w14:textId="5DF2223D">
      <w:pPr>
        <w:pStyle w:val="Title"/>
        <w:rPr>
          <w:highlight w:val="yellow"/>
        </w:rPr>
      </w:pPr>
    </w:p>
    <w:p w:rsidR="00F200C2" w:rsidP="00167F46" w:rsidRDefault="00F200C2" w14:paraId="373E77DD" w14:textId="77777777">
      <w:pPr>
        <w:pStyle w:val="Department"/>
        <w:jc w:val="center"/>
        <w:rPr>
          <w:rFonts w:ascii="Arial" w:hAnsi="Arial" w:cs="Arial"/>
          <w:bCs w:val="0"/>
          <w:color w:val="auto"/>
        </w:rPr>
      </w:pPr>
    </w:p>
    <w:p w:rsidR="00F200C2" w:rsidP="00167F46" w:rsidRDefault="00F200C2" w14:paraId="129B19E6" w14:textId="77777777">
      <w:pPr>
        <w:pStyle w:val="Department"/>
        <w:jc w:val="center"/>
        <w:rPr>
          <w:rFonts w:ascii="Arial" w:hAnsi="Arial" w:cs="Arial"/>
          <w:bCs w:val="0"/>
          <w:color w:val="auto"/>
        </w:rPr>
      </w:pPr>
    </w:p>
    <w:p w:rsidR="00F200C2" w:rsidP="00167F46" w:rsidRDefault="00F200C2" w14:paraId="3F66C93C" w14:textId="77777777">
      <w:pPr>
        <w:pStyle w:val="Department"/>
        <w:jc w:val="center"/>
        <w:rPr>
          <w:rFonts w:ascii="Arial" w:hAnsi="Arial" w:cs="Arial"/>
          <w:bCs w:val="0"/>
          <w:color w:val="auto"/>
        </w:rPr>
      </w:pPr>
    </w:p>
    <w:p w:rsidR="00F200C2" w:rsidP="00167F46" w:rsidRDefault="00F200C2" w14:paraId="50427475" w14:textId="77777777">
      <w:pPr>
        <w:pStyle w:val="Department"/>
        <w:jc w:val="center"/>
        <w:rPr>
          <w:rFonts w:ascii="Arial" w:hAnsi="Arial" w:cs="Arial"/>
          <w:bCs w:val="0"/>
          <w:color w:val="auto"/>
        </w:rPr>
      </w:pPr>
    </w:p>
    <w:p w:rsidR="00F200C2" w:rsidP="00167F46" w:rsidRDefault="00F200C2" w14:paraId="1724B3C8" w14:textId="77777777">
      <w:pPr>
        <w:pStyle w:val="Department"/>
        <w:jc w:val="center"/>
        <w:rPr>
          <w:rFonts w:ascii="Arial" w:hAnsi="Arial" w:cs="Arial"/>
          <w:bCs w:val="0"/>
          <w:color w:val="auto"/>
        </w:rPr>
      </w:pPr>
    </w:p>
    <w:p w:rsidR="00F200C2" w:rsidP="00167F46" w:rsidRDefault="00F200C2" w14:paraId="228494D5" w14:textId="77777777">
      <w:pPr>
        <w:pStyle w:val="Department"/>
        <w:jc w:val="center"/>
        <w:rPr>
          <w:rFonts w:ascii="Arial" w:hAnsi="Arial" w:cs="Arial"/>
          <w:bCs w:val="0"/>
          <w:color w:val="auto"/>
        </w:rPr>
      </w:pPr>
    </w:p>
    <w:p w:rsidR="00F200C2" w:rsidP="00167F46" w:rsidRDefault="00F200C2" w14:paraId="047A9779" w14:textId="77777777">
      <w:pPr>
        <w:pStyle w:val="Department"/>
        <w:jc w:val="center"/>
        <w:rPr>
          <w:rFonts w:ascii="Arial" w:hAnsi="Arial" w:cs="Arial"/>
          <w:bCs w:val="0"/>
          <w:color w:val="auto"/>
        </w:rPr>
      </w:pPr>
    </w:p>
    <w:p w:rsidR="00F200C2" w:rsidP="00167F46" w:rsidRDefault="00F200C2" w14:paraId="357CBD16" w14:textId="77777777">
      <w:pPr>
        <w:pStyle w:val="Department"/>
        <w:jc w:val="center"/>
        <w:rPr>
          <w:rFonts w:ascii="Arial" w:hAnsi="Arial" w:cs="Arial"/>
          <w:bCs w:val="0"/>
          <w:color w:val="auto"/>
        </w:rPr>
      </w:pPr>
    </w:p>
    <w:p w:rsidRPr="003D53FF" w:rsidR="00167F46" w:rsidP="4A15EC48" w:rsidRDefault="4A15EC48" w14:paraId="72D7DED4" w14:textId="4486412B">
      <w:pPr>
        <w:pStyle w:val="Department"/>
        <w:jc w:val="center"/>
        <w:rPr>
          <w:rFonts w:ascii="Arial" w:hAnsi="Arial" w:cs="Arial"/>
          <w:color w:val="auto"/>
        </w:rPr>
      </w:pPr>
      <w:r w:rsidRPr="4A15EC48">
        <w:rPr>
          <w:rFonts w:ascii="Arial" w:hAnsi="Arial" w:cs="Arial"/>
          <w:color w:val="auto"/>
        </w:rPr>
        <w:t>Q</w:t>
      </w:r>
      <w:r w:rsidR="0074601C">
        <w:rPr>
          <w:rFonts w:ascii="Arial" w:hAnsi="Arial" w:cs="Arial"/>
          <w:color w:val="auto"/>
        </w:rPr>
        <w:t>4</w:t>
      </w:r>
      <w:r w:rsidRPr="4A15EC48">
        <w:rPr>
          <w:rFonts w:ascii="Arial" w:hAnsi="Arial" w:cs="Arial"/>
          <w:color w:val="auto"/>
        </w:rPr>
        <w:t xml:space="preserve"> 202</w:t>
      </w:r>
      <w:r w:rsidR="0063252E">
        <w:rPr>
          <w:rFonts w:ascii="Arial" w:hAnsi="Arial" w:cs="Arial"/>
          <w:color w:val="auto"/>
        </w:rPr>
        <w:t>5</w:t>
      </w:r>
    </w:p>
    <w:p w:rsidRPr="003D53FF" w:rsidR="00167F46" w:rsidP="00167F46" w:rsidRDefault="00167F46" w14:paraId="5E8C6E83" w14:textId="77777777">
      <w:pPr>
        <w:pStyle w:val="Department"/>
        <w:jc w:val="center"/>
        <w:rPr>
          <w:rFonts w:ascii="Arial" w:hAnsi="Arial" w:cs="Arial"/>
          <w:b w:val="0"/>
          <w:color w:val="auto"/>
        </w:rPr>
      </w:pPr>
    </w:p>
    <w:p w:rsidR="00F200C2" w:rsidP="00D46052" w:rsidRDefault="00F200C2" w14:paraId="61BB4651" w14:textId="77777777">
      <w:pPr>
        <w:tabs>
          <w:tab w:val="left" w:pos="7864"/>
        </w:tabs>
        <w:rPr>
          <w:rFonts w:cs="Arial" w:eastAsiaTheme="minorHAnsi"/>
          <w:bCs/>
          <w:color w:val="7F7F7F" w:themeColor="text1" w:themeTint="80"/>
          <w:kern w:val="32"/>
          <w:sz w:val="24"/>
          <w:szCs w:val="26"/>
          <w:lang w:val="en-GB" w:eastAsia="nl-NL"/>
        </w:rPr>
      </w:pPr>
    </w:p>
    <w:p w:rsidR="00D46052" w:rsidP="00D46052" w:rsidRDefault="00D46052" w14:paraId="61DA0601" w14:textId="3BF69668">
      <w:pPr>
        <w:tabs>
          <w:tab w:val="left" w:pos="7864"/>
        </w:tabs>
        <w:rPr>
          <w:rFonts w:cs="Arial" w:eastAsiaTheme="minorHAnsi"/>
          <w:bCs/>
          <w:color w:val="7F7F7F" w:themeColor="text1" w:themeTint="80"/>
          <w:kern w:val="32"/>
          <w:sz w:val="24"/>
          <w:szCs w:val="26"/>
          <w:lang w:val="en-GB"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539046043"/>
        <w:docPartObj>
          <w:docPartGallery w:val="Table of Contents"/>
          <w:docPartUnique/>
        </w:docPartObj>
        <w:rPr>
          <w:rFonts w:ascii="Arial" w:hAnsi="Arial" w:cs="Arial" w:asciiTheme="minorAscii" w:hAnsiTheme="minorAscii" w:cstheme="minorAscii"/>
          <w:b w:val="1"/>
          <w:bCs w:val="1"/>
          <w:i w:val="1"/>
          <w:iCs w:val="1"/>
          <w:sz w:val="24"/>
          <w:szCs w:val="24"/>
        </w:rPr>
      </w:sdtPr>
      <w:sdtContent>
        <w:p w:rsidR="00D46052" w:rsidP="03D1E99D" w:rsidRDefault="799E5D96" w14:paraId="2E22A2E5" w14:textId="3482BD99">
          <w:pPr>
            <w:tabs>
              <w:tab w:val="left" w:pos="7864"/>
            </w:tabs>
            <w:rPr>
              <w:color w:val="5F5F5F" w:themeColor="text2"/>
              <w:lang w:val="en-GB"/>
            </w:rPr>
          </w:pPr>
          <w:r w:rsidRPr="799E5D96">
            <w:rPr>
              <w:color w:val="5F5F5F" w:themeColor="background2" w:themeShade="80"/>
              <w:lang w:val="en-GB"/>
            </w:rPr>
            <w:t>Table of Contents</w:t>
          </w:r>
        </w:p>
        <w:p w:rsidRPr="00D46052" w:rsidR="00D46052" w:rsidP="03D1E99D" w:rsidRDefault="00D46052" w14:paraId="16B05C45" w14:textId="77777777">
          <w:pPr>
            <w:tabs>
              <w:tab w:val="left" w:pos="7864"/>
            </w:tabs>
            <w:rPr>
              <w:b/>
              <w:bCs/>
              <w:color w:val="5F5F5F" w:themeColor="text2"/>
              <w:lang w:val="en-GB"/>
            </w:rPr>
          </w:pPr>
        </w:p>
        <w:p w:rsidR="00CA64F3" w:rsidRDefault="799E5D96" w14:paraId="6A2B7DCE" w14:textId="352CF1D2">
          <w:pPr>
            <w:pStyle w:val="TOC1"/>
            <w:tabs>
              <w:tab w:val="right" w:leader="dot" w:pos="9288"/>
            </w:tabs>
            <w:rPr>
              <w:rFonts w:cstheme="minorBidi"/>
              <w:b w:val="0"/>
              <w:bCs w:val="0"/>
              <w:i w:val="0"/>
              <w:iCs w:val="0"/>
              <w:noProof/>
              <w:kern w:val="2"/>
              <w:lang w:val="en-DE" w:eastAsia="en-DE"/>
              <w14:ligatures w14:val="standardContextual"/>
            </w:rPr>
          </w:pPr>
          <w:r>
            <w:fldChar w:fldCharType="begin"/>
          </w:r>
          <w:r w:rsidR="0012099C">
            <w:instrText>TOC \o "1-3" \z \u \h</w:instrText>
          </w:r>
          <w:r>
            <w:fldChar w:fldCharType="separate"/>
          </w:r>
          <w:hyperlink w:history="1" w:anchor="_Toc220678223">
            <w:r w:rsidRPr="00144266" w:rsidR="00CA64F3">
              <w:rPr>
                <w:rStyle w:val="Hyperlink"/>
                <w:noProof/>
              </w:rPr>
              <w:t>Introduction</w:t>
            </w:r>
            <w:r w:rsidR="00CA64F3">
              <w:rPr>
                <w:noProof/>
                <w:webHidden/>
              </w:rPr>
              <w:tab/>
            </w:r>
            <w:r w:rsidR="00CA64F3">
              <w:rPr>
                <w:noProof/>
                <w:webHidden/>
              </w:rPr>
              <w:fldChar w:fldCharType="begin"/>
            </w:r>
            <w:r w:rsidR="00CA64F3">
              <w:rPr>
                <w:noProof/>
                <w:webHidden/>
              </w:rPr>
              <w:instrText xml:space="preserve"> PAGEREF _Toc220678223 \h </w:instrText>
            </w:r>
            <w:r w:rsidR="00CA64F3">
              <w:rPr>
                <w:noProof/>
                <w:webHidden/>
              </w:rPr>
            </w:r>
            <w:r w:rsidR="00CA64F3">
              <w:rPr>
                <w:noProof/>
                <w:webHidden/>
              </w:rPr>
              <w:fldChar w:fldCharType="separate"/>
            </w:r>
            <w:r w:rsidR="00CA64F3">
              <w:rPr>
                <w:noProof/>
                <w:webHidden/>
              </w:rPr>
              <w:t>3</w:t>
            </w:r>
            <w:r w:rsidR="00CA64F3">
              <w:rPr>
                <w:noProof/>
                <w:webHidden/>
              </w:rPr>
              <w:fldChar w:fldCharType="end"/>
            </w:r>
          </w:hyperlink>
        </w:p>
        <w:p w:rsidR="00CA64F3" w:rsidRDefault="00CA64F3" w14:paraId="21863AEE" w14:textId="495D3FE1">
          <w:pPr>
            <w:pStyle w:val="TOC1"/>
            <w:tabs>
              <w:tab w:val="left" w:pos="600"/>
              <w:tab w:val="right" w:leader="dot" w:pos="9288"/>
            </w:tabs>
            <w:rPr>
              <w:rFonts w:cstheme="minorBidi"/>
              <w:b w:val="0"/>
              <w:bCs w:val="0"/>
              <w:i w:val="0"/>
              <w:iCs w:val="0"/>
              <w:noProof/>
              <w:kern w:val="2"/>
              <w:lang w:val="en-DE" w:eastAsia="en-DE"/>
              <w14:ligatures w14:val="standardContextual"/>
            </w:rPr>
          </w:pPr>
          <w:hyperlink w:history="1" w:anchor="_Toc220678224">
            <w:r w:rsidRPr="00144266">
              <w:rPr>
                <w:rStyle w:val="Hyperlink"/>
                <w:noProof/>
              </w:rPr>
              <w:t>1.</w:t>
            </w:r>
            <w:r>
              <w:rPr>
                <w:rFonts w:cstheme="minorBidi"/>
                <w:b w:val="0"/>
                <w:bCs w:val="0"/>
                <w:i w:val="0"/>
                <w:iCs w:val="0"/>
                <w:noProof/>
                <w:kern w:val="2"/>
                <w:lang w:val="en-DE" w:eastAsia="en-DE"/>
                <w14:ligatures w14:val="standardContextual"/>
              </w:rPr>
              <w:tab/>
            </w:r>
            <w:r w:rsidRPr="00144266">
              <w:rPr>
                <w:rStyle w:val="Hyperlink"/>
                <w:noProof/>
              </w:rPr>
              <w:t>CEPS</w:t>
            </w:r>
            <w:r>
              <w:rPr>
                <w:noProof/>
                <w:webHidden/>
              </w:rPr>
              <w:tab/>
            </w:r>
            <w:r>
              <w:rPr>
                <w:noProof/>
                <w:webHidden/>
              </w:rPr>
              <w:fldChar w:fldCharType="begin"/>
            </w:r>
            <w:r>
              <w:rPr>
                <w:noProof/>
                <w:webHidden/>
              </w:rPr>
              <w:instrText xml:space="preserve"> PAGEREF _Toc220678224 \h </w:instrText>
            </w:r>
            <w:r>
              <w:rPr>
                <w:noProof/>
                <w:webHidden/>
              </w:rPr>
            </w:r>
            <w:r>
              <w:rPr>
                <w:noProof/>
                <w:webHidden/>
              </w:rPr>
              <w:fldChar w:fldCharType="separate"/>
            </w:r>
            <w:r>
              <w:rPr>
                <w:noProof/>
                <w:webHidden/>
              </w:rPr>
              <w:t>4</w:t>
            </w:r>
            <w:r>
              <w:rPr>
                <w:noProof/>
                <w:webHidden/>
              </w:rPr>
              <w:fldChar w:fldCharType="end"/>
            </w:r>
          </w:hyperlink>
        </w:p>
        <w:p w:rsidR="00CA64F3" w:rsidRDefault="00CA64F3" w14:paraId="358F6FF0" w14:textId="56EE47B4">
          <w:pPr>
            <w:pStyle w:val="TOC1"/>
            <w:tabs>
              <w:tab w:val="left" w:pos="600"/>
              <w:tab w:val="right" w:leader="dot" w:pos="9288"/>
            </w:tabs>
            <w:rPr>
              <w:rFonts w:cstheme="minorBidi"/>
              <w:b w:val="0"/>
              <w:bCs w:val="0"/>
              <w:i w:val="0"/>
              <w:iCs w:val="0"/>
              <w:noProof/>
              <w:kern w:val="2"/>
              <w:lang w:val="en-DE" w:eastAsia="en-DE"/>
              <w14:ligatures w14:val="standardContextual"/>
            </w:rPr>
          </w:pPr>
          <w:hyperlink w:history="1" w:anchor="_Toc220678225">
            <w:r w:rsidRPr="00144266">
              <w:rPr>
                <w:rStyle w:val="Hyperlink"/>
                <w:noProof/>
              </w:rPr>
              <w:t>2.</w:t>
            </w:r>
            <w:r>
              <w:rPr>
                <w:rFonts w:cstheme="minorBidi"/>
                <w:b w:val="0"/>
                <w:bCs w:val="0"/>
                <w:i w:val="0"/>
                <w:iCs w:val="0"/>
                <w:noProof/>
                <w:kern w:val="2"/>
                <w:lang w:val="en-DE" w:eastAsia="en-DE"/>
                <w14:ligatures w14:val="standardContextual"/>
              </w:rPr>
              <w:tab/>
            </w:r>
            <w:r w:rsidRPr="00144266">
              <w:rPr>
                <w:rStyle w:val="Hyperlink"/>
                <w:noProof/>
              </w:rPr>
              <w:t>DAVinCy TSOs</w:t>
            </w:r>
            <w:r>
              <w:rPr>
                <w:noProof/>
                <w:webHidden/>
              </w:rPr>
              <w:tab/>
            </w:r>
            <w:r>
              <w:rPr>
                <w:noProof/>
                <w:webHidden/>
              </w:rPr>
              <w:fldChar w:fldCharType="begin"/>
            </w:r>
            <w:r>
              <w:rPr>
                <w:noProof/>
                <w:webHidden/>
              </w:rPr>
              <w:instrText xml:space="preserve"> PAGEREF _Toc220678225 \h </w:instrText>
            </w:r>
            <w:r>
              <w:rPr>
                <w:noProof/>
                <w:webHidden/>
              </w:rPr>
            </w:r>
            <w:r>
              <w:rPr>
                <w:noProof/>
                <w:webHidden/>
              </w:rPr>
              <w:fldChar w:fldCharType="separate"/>
            </w:r>
            <w:r>
              <w:rPr>
                <w:noProof/>
                <w:webHidden/>
              </w:rPr>
              <w:t>4</w:t>
            </w:r>
            <w:r>
              <w:rPr>
                <w:noProof/>
                <w:webHidden/>
              </w:rPr>
              <w:fldChar w:fldCharType="end"/>
            </w:r>
          </w:hyperlink>
        </w:p>
        <w:p w:rsidR="00CA64F3" w:rsidRDefault="00CA64F3" w14:paraId="5AC61BDC" w14:textId="0970CBCE">
          <w:pPr>
            <w:pStyle w:val="TOC2"/>
            <w:tabs>
              <w:tab w:val="left" w:pos="1000"/>
              <w:tab w:val="right" w:leader="dot" w:pos="9288"/>
            </w:tabs>
            <w:rPr>
              <w:rFonts w:cstheme="minorBidi"/>
              <w:b w:val="0"/>
              <w:bCs w:val="0"/>
              <w:noProof/>
              <w:kern w:val="2"/>
              <w:sz w:val="24"/>
              <w:szCs w:val="24"/>
              <w:lang w:val="en-DE" w:eastAsia="en-DE"/>
              <w14:ligatures w14:val="standardContextual"/>
            </w:rPr>
          </w:pPr>
          <w:hyperlink w:history="1" w:anchor="_Toc220678226">
            <w:r w:rsidRPr="00144266">
              <w:rPr>
                <w:rStyle w:val="Hyperlink"/>
                <w:noProof/>
              </w:rPr>
              <w:t>2.1.</w:t>
            </w:r>
            <w:r>
              <w:rPr>
                <w:rFonts w:cstheme="minorBidi"/>
                <w:b w:val="0"/>
                <w:bCs w:val="0"/>
                <w:noProof/>
                <w:kern w:val="2"/>
                <w:sz w:val="24"/>
                <w:szCs w:val="24"/>
                <w:lang w:val="en-DE" w:eastAsia="en-DE"/>
                <w14:ligatures w14:val="standardContextual"/>
              </w:rPr>
              <w:tab/>
            </w:r>
            <w:r w:rsidRPr="00144266">
              <w:rPr>
                <w:rStyle w:val="Hyperlink"/>
                <w:noProof/>
              </w:rPr>
              <w:t>APG</w:t>
            </w:r>
            <w:r>
              <w:rPr>
                <w:noProof/>
                <w:webHidden/>
              </w:rPr>
              <w:tab/>
            </w:r>
            <w:r>
              <w:rPr>
                <w:noProof/>
                <w:webHidden/>
              </w:rPr>
              <w:fldChar w:fldCharType="begin"/>
            </w:r>
            <w:r>
              <w:rPr>
                <w:noProof/>
                <w:webHidden/>
              </w:rPr>
              <w:instrText xml:space="preserve"> PAGEREF _Toc220678226 \h </w:instrText>
            </w:r>
            <w:r>
              <w:rPr>
                <w:noProof/>
                <w:webHidden/>
              </w:rPr>
            </w:r>
            <w:r>
              <w:rPr>
                <w:noProof/>
                <w:webHidden/>
              </w:rPr>
              <w:fldChar w:fldCharType="separate"/>
            </w:r>
            <w:r>
              <w:rPr>
                <w:noProof/>
                <w:webHidden/>
              </w:rPr>
              <w:t>4</w:t>
            </w:r>
            <w:r>
              <w:rPr>
                <w:noProof/>
                <w:webHidden/>
              </w:rPr>
              <w:fldChar w:fldCharType="end"/>
            </w:r>
          </w:hyperlink>
        </w:p>
        <w:p w:rsidR="00CA64F3" w:rsidRDefault="00CA64F3" w14:paraId="7D27A04F" w14:textId="1415F21C">
          <w:pPr>
            <w:pStyle w:val="TOC3"/>
            <w:tabs>
              <w:tab w:val="left" w:pos="1200"/>
              <w:tab w:val="right" w:leader="dot" w:pos="9288"/>
            </w:tabs>
            <w:rPr>
              <w:rFonts w:cstheme="minorBidi"/>
              <w:noProof/>
              <w:kern w:val="2"/>
              <w:sz w:val="24"/>
              <w:szCs w:val="24"/>
              <w:lang w:val="en-DE" w:eastAsia="en-DE"/>
              <w14:ligatures w14:val="standardContextual"/>
            </w:rPr>
          </w:pPr>
          <w:hyperlink w:history="1" w:anchor="_Toc220678227">
            <w:r w:rsidRPr="00144266">
              <w:rPr>
                <w:rStyle w:val="Hyperlink"/>
                <w:noProof/>
              </w:rPr>
              <w:t>2.1.1</w:t>
            </w:r>
            <w:r>
              <w:rPr>
                <w:rFonts w:cstheme="minorBidi"/>
                <w:noProof/>
                <w:kern w:val="2"/>
                <w:sz w:val="24"/>
                <w:szCs w:val="24"/>
                <w:lang w:val="en-DE" w:eastAsia="en-DE"/>
                <w14:ligatures w14:val="standardContextual"/>
              </w:rPr>
              <w:tab/>
            </w:r>
            <w:r w:rsidRPr="00144266">
              <w:rPr>
                <w:rStyle w:val="Hyperlink"/>
                <w:noProof/>
              </w:rPr>
              <w:t>Overview</w:t>
            </w:r>
            <w:r>
              <w:rPr>
                <w:noProof/>
                <w:webHidden/>
              </w:rPr>
              <w:tab/>
            </w:r>
            <w:r>
              <w:rPr>
                <w:noProof/>
                <w:webHidden/>
              </w:rPr>
              <w:fldChar w:fldCharType="begin"/>
            </w:r>
            <w:r>
              <w:rPr>
                <w:noProof/>
                <w:webHidden/>
              </w:rPr>
              <w:instrText xml:space="preserve"> PAGEREF _Toc220678227 \h </w:instrText>
            </w:r>
            <w:r>
              <w:rPr>
                <w:noProof/>
                <w:webHidden/>
              </w:rPr>
            </w:r>
            <w:r>
              <w:rPr>
                <w:noProof/>
                <w:webHidden/>
              </w:rPr>
              <w:fldChar w:fldCharType="separate"/>
            </w:r>
            <w:r>
              <w:rPr>
                <w:noProof/>
                <w:webHidden/>
              </w:rPr>
              <w:t>4</w:t>
            </w:r>
            <w:r>
              <w:rPr>
                <w:noProof/>
                <w:webHidden/>
              </w:rPr>
              <w:fldChar w:fldCharType="end"/>
            </w:r>
          </w:hyperlink>
        </w:p>
        <w:p w:rsidR="00CA64F3" w:rsidRDefault="00CA64F3" w14:paraId="743DEB49" w14:textId="7C761F15">
          <w:pPr>
            <w:pStyle w:val="TOC3"/>
            <w:tabs>
              <w:tab w:val="left" w:pos="1200"/>
              <w:tab w:val="right" w:leader="dot" w:pos="9288"/>
            </w:tabs>
            <w:rPr>
              <w:rFonts w:cstheme="minorBidi"/>
              <w:noProof/>
              <w:kern w:val="2"/>
              <w:sz w:val="24"/>
              <w:szCs w:val="24"/>
              <w:lang w:val="en-DE" w:eastAsia="en-DE"/>
              <w14:ligatures w14:val="standardContextual"/>
            </w:rPr>
          </w:pPr>
          <w:hyperlink w:history="1" w:anchor="_Toc220678228">
            <w:r w:rsidRPr="00144266">
              <w:rPr>
                <w:rStyle w:val="Hyperlink"/>
                <w:noProof/>
              </w:rPr>
              <w:t>2.1.2</w:t>
            </w:r>
            <w:r>
              <w:rPr>
                <w:rFonts w:cstheme="minorBidi"/>
                <w:noProof/>
                <w:kern w:val="2"/>
                <w:sz w:val="24"/>
                <w:szCs w:val="24"/>
                <w:lang w:val="en-DE" w:eastAsia="en-DE"/>
                <w14:ligatures w14:val="standardContextual"/>
              </w:rPr>
              <w:tab/>
            </w:r>
            <w:r w:rsidRPr="00144266">
              <w:rPr>
                <w:rStyle w:val="Hyperlink"/>
                <w:noProof/>
              </w:rPr>
              <w:t>Conclusion</w:t>
            </w:r>
            <w:r>
              <w:rPr>
                <w:noProof/>
                <w:webHidden/>
              </w:rPr>
              <w:tab/>
            </w:r>
            <w:r>
              <w:rPr>
                <w:noProof/>
                <w:webHidden/>
              </w:rPr>
              <w:fldChar w:fldCharType="begin"/>
            </w:r>
            <w:r>
              <w:rPr>
                <w:noProof/>
                <w:webHidden/>
              </w:rPr>
              <w:instrText xml:space="preserve"> PAGEREF _Toc220678228 \h </w:instrText>
            </w:r>
            <w:r>
              <w:rPr>
                <w:noProof/>
                <w:webHidden/>
              </w:rPr>
            </w:r>
            <w:r>
              <w:rPr>
                <w:noProof/>
                <w:webHidden/>
              </w:rPr>
              <w:fldChar w:fldCharType="separate"/>
            </w:r>
            <w:r>
              <w:rPr>
                <w:noProof/>
                <w:webHidden/>
              </w:rPr>
              <w:t>5</w:t>
            </w:r>
            <w:r>
              <w:rPr>
                <w:noProof/>
                <w:webHidden/>
              </w:rPr>
              <w:fldChar w:fldCharType="end"/>
            </w:r>
          </w:hyperlink>
        </w:p>
        <w:p w:rsidR="00CA64F3" w:rsidRDefault="00CA64F3" w14:paraId="067841A4" w14:textId="615DC567">
          <w:pPr>
            <w:pStyle w:val="TOC2"/>
            <w:tabs>
              <w:tab w:val="left" w:pos="1000"/>
              <w:tab w:val="right" w:leader="dot" w:pos="9288"/>
            </w:tabs>
            <w:rPr>
              <w:rFonts w:cstheme="minorBidi"/>
              <w:b w:val="0"/>
              <w:bCs w:val="0"/>
              <w:noProof/>
              <w:kern w:val="2"/>
              <w:sz w:val="24"/>
              <w:szCs w:val="24"/>
              <w:lang w:val="en-DE" w:eastAsia="en-DE"/>
              <w14:ligatures w14:val="standardContextual"/>
            </w:rPr>
          </w:pPr>
          <w:hyperlink w:history="1" w:anchor="_Toc220678229">
            <w:r w:rsidRPr="00144266">
              <w:rPr>
                <w:rStyle w:val="Hyperlink"/>
                <w:noProof/>
              </w:rPr>
              <w:t>2.2.</w:t>
            </w:r>
            <w:r>
              <w:rPr>
                <w:rFonts w:cstheme="minorBidi"/>
                <w:b w:val="0"/>
                <w:bCs w:val="0"/>
                <w:noProof/>
                <w:kern w:val="2"/>
                <w:sz w:val="24"/>
                <w:szCs w:val="24"/>
                <w:lang w:val="en-DE" w:eastAsia="en-DE"/>
                <w14:ligatures w14:val="standardContextual"/>
              </w:rPr>
              <w:tab/>
            </w:r>
            <w:r w:rsidRPr="00144266">
              <w:rPr>
                <w:rStyle w:val="Hyperlink"/>
                <w:noProof/>
              </w:rPr>
              <w:t>German TSOs</w:t>
            </w:r>
            <w:r>
              <w:rPr>
                <w:noProof/>
                <w:webHidden/>
              </w:rPr>
              <w:tab/>
            </w:r>
            <w:r>
              <w:rPr>
                <w:noProof/>
                <w:webHidden/>
              </w:rPr>
              <w:fldChar w:fldCharType="begin"/>
            </w:r>
            <w:r>
              <w:rPr>
                <w:noProof/>
                <w:webHidden/>
              </w:rPr>
              <w:instrText xml:space="preserve"> PAGEREF _Toc220678229 \h </w:instrText>
            </w:r>
            <w:r>
              <w:rPr>
                <w:noProof/>
                <w:webHidden/>
              </w:rPr>
            </w:r>
            <w:r>
              <w:rPr>
                <w:noProof/>
                <w:webHidden/>
              </w:rPr>
              <w:fldChar w:fldCharType="separate"/>
            </w:r>
            <w:r>
              <w:rPr>
                <w:noProof/>
                <w:webHidden/>
              </w:rPr>
              <w:t>6</w:t>
            </w:r>
            <w:r>
              <w:rPr>
                <w:noProof/>
                <w:webHidden/>
              </w:rPr>
              <w:fldChar w:fldCharType="end"/>
            </w:r>
          </w:hyperlink>
        </w:p>
        <w:p w:rsidR="00CA64F3" w:rsidRDefault="00CA64F3" w14:paraId="4E7AD644" w14:textId="4FD6810D">
          <w:pPr>
            <w:pStyle w:val="TOC2"/>
            <w:tabs>
              <w:tab w:val="left" w:pos="1000"/>
              <w:tab w:val="right" w:leader="dot" w:pos="9288"/>
            </w:tabs>
            <w:rPr>
              <w:rFonts w:cstheme="minorBidi"/>
              <w:b w:val="0"/>
              <w:bCs w:val="0"/>
              <w:noProof/>
              <w:kern w:val="2"/>
              <w:sz w:val="24"/>
              <w:szCs w:val="24"/>
              <w:lang w:val="en-DE" w:eastAsia="en-DE"/>
              <w14:ligatures w14:val="standardContextual"/>
            </w:rPr>
          </w:pPr>
          <w:hyperlink w:history="1" w:anchor="_Toc220678230">
            <w:r w:rsidRPr="00144266">
              <w:rPr>
                <w:rStyle w:val="Hyperlink"/>
                <w:noProof/>
              </w:rPr>
              <w:t>2.3.</w:t>
            </w:r>
            <w:r>
              <w:rPr>
                <w:rFonts w:cstheme="minorBidi"/>
                <w:b w:val="0"/>
                <w:bCs w:val="0"/>
                <w:noProof/>
                <w:kern w:val="2"/>
                <w:sz w:val="24"/>
                <w:szCs w:val="24"/>
                <w:lang w:val="en-DE" w:eastAsia="en-DE"/>
                <w14:ligatures w14:val="standardContextual"/>
              </w:rPr>
              <w:tab/>
            </w:r>
            <w:r w:rsidRPr="00144266">
              <w:rPr>
                <w:rStyle w:val="Hyperlink"/>
                <w:noProof/>
              </w:rPr>
              <w:t>TENNET TSO BV</w:t>
            </w:r>
            <w:r>
              <w:rPr>
                <w:noProof/>
                <w:webHidden/>
              </w:rPr>
              <w:tab/>
            </w:r>
            <w:r>
              <w:rPr>
                <w:noProof/>
                <w:webHidden/>
              </w:rPr>
              <w:fldChar w:fldCharType="begin"/>
            </w:r>
            <w:r>
              <w:rPr>
                <w:noProof/>
                <w:webHidden/>
              </w:rPr>
              <w:instrText xml:space="preserve"> PAGEREF _Toc220678230 \h </w:instrText>
            </w:r>
            <w:r>
              <w:rPr>
                <w:noProof/>
                <w:webHidden/>
              </w:rPr>
            </w:r>
            <w:r>
              <w:rPr>
                <w:noProof/>
                <w:webHidden/>
              </w:rPr>
              <w:fldChar w:fldCharType="separate"/>
            </w:r>
            <w:r>
              <w:rPr>
                <w:noProof/>
                <w:webHidden/>
              </w:rPr>
              <w:t>6</w:t>
            </w:r>
            <w:r>
              <w:rPr>
                <w:noProof/>
                <w:webHidden/>
              </w:rPr>
              <w:fldChar w:fldCharType="end"/>
            </w:r>
          </w:hyperlink>
        </w:p>
        <w:p w:rsidR="00CA64F3" w:rsidRDefault="00CA64F3" w14:paraId="597AD68D" w14:textId="7061093A">
          <w:pPr>
            <w:pStyle w:val="TOC1"/>
            <w:tabs>
              <w:tab w:val="left" w:pos="600"/>
              <w:tab w:val="right" w:leader="dot" w:pos="9288"/>
            </w:tabs>
            <w:rPr>
              <w:rFonts w:cstheme="minorBidi"/>
              <w:b w:val="0"/>
              <w:bCs w:val="0"/>
              <w:i w:val="0"/>
              <w:iCs w:val="0"/>
              <w:noProof/>
              <w:kern w:val="2"/>
              <w:lang w:val="en-DE" w:eastAsia="en-DE"/>
              <w14:ligatures w14:val="standardContextual"/>
            </w:rPr>
          </w:pPr>
          <w:hyperlink w:history="1" w:anchor="_Toc220678231">
            <w:r w:rsidRPr="00144266">
              <w:rPr>
                <w:rStyle w:val="Hyperlink"/>
                <w:noProof/>
              </w:rPr>
              <w:t>3.</w:t>
            </w:r>
            <w:r>
              <w:rPr>
                <w:rFonts w:cstheme="minorBidi"/>
                <w:b w:val="0"/>
                <w:bCs w:val="0"/>
                <w:i w:val="0"/>
                <w:iCs w:val="0"/>
                <w:noProof/>
                <w:kern w:val="2"/>
                <w:lang w:val="en-DE" w:eastAsia="en-DE"/>
                <w14:ligatures w14:val="standardContextual"/>
              </w:rPr>
              <w:tab/>
            </w:r>
            <w:r w:rsidRPr="00144266">
              <w:rPr>
                <w:rStyle w:val="Hyperlink"/>
                <w:noProof/>
              </w:rPr>
              <w:t>ELES</w:t>
            </w:r>
            <w:r>
              <w:rPr>
                <w:noProof/>
                <w:webHidden/>
              </w:rPr>
              <w:tab/>
            </w:r>
            <w:r>
              <w:rPr>
                <w:noProof/>
                <w:webHidden/>
              </w:rPr>
              <w:fldChar w:fldCharType="begin"/>
            </w:r>
            <w:r>
              <w:rPr>
                <w:noProof/>
                <w:webHidden/>
              </w:rPr>
              <w:instrText xml:space="preserve"> PAGEREF _Toc220678231 \h </w:instrText>
            </w:r>
            <w:r>
              <w:rPr>
                <w:noProof/>
                <w:webHidden/>
              </w:rPr>
            </w:r>
            <w:r>
              <w:rPr>
                <w:noProof/>
                <w:webHidden/>
              </w:rPr>
              <w:fldChar w:fldCharType="separate"/>
            </w:r>
            <w:r>
              <w:rPr>
                <w:noProof/>
                <w:webHidden/>
              </w:rPr>
              <w:t>6</w:t>
            </w:r>
            <w:r>
              <w:rPr>
                <w:noProof/>
                <w:webHidden/>
              </w:rPr>
              <w:fldChar w:fldCharType="end"/>
            </w:r>
          </w:hyperlink>
        </w:p>
        <w:p w:rsidR="00CA64F3" w:rsidRDefault="00CA64F3" w14:paraId="5885D5FC" w14:textId="40CEB048">
          <w:pPr>
            <w:pStyle w:val="TOC1"/>
            <w:tabs>
              <w:tab w:val="left" w:pos="600"/>
              <w:tab w:val="right" w:leader="dot" w:pos="9288"/>
            </w:tabs>
            <w:rPr>
              <w:rFonts w:cstheme="minorBidi"/>
              <w:b w:val="0"/>
              <w:bCs w:val="0"/>
              <w:i w:val="0"/>
              <w:iCs w:val="0"/>
              <w:noProof/>
              <w:kern w:val="2"/>
              <w:lang w:val="en-DE" w:eastAsia="en-DE"/>
              <w14:ligatures w14:val="standardContextual"/>
            </w:rPr>
          </w:pPr>
          <w:hyperlink w:history="1" w:anchor="_Toc220678232">
            <w:r w:rsidRPr="00144266">
              <w:rPr>
                <w:rStyle w:val="Hyperlink"/>
                <w:noProof/>
              </w:rPr>
              <w:t>4.</w:t>
            </w:r>
            <w:r>
              <w:rPr>
                <w:rFonts w:cstheme="minorBidi"/>
                <w:b w:val="0"/>
                <w:bCs w:val="0"/>
                <w:i w:val="0"/>
                <w:iCs w:val="0"/>
                <w:noProof/>
                <w:kern w:val="2"/>
                <w:lang w:val="en-DE" w:eastAsia="en-DE"/>
                <w14:ligatures w14:val="standardContextual"/>
              </w:rPr>
              <w:tab/>
            </w:r>
            <w:r w:rsidRPr="00144266">
              <w:rPr>
                <w:rStyle w:val="Hyperlink"/>
                <w:noProof/>
              </w:rPr>
              <w:t>ELIA</w:t>
            </w:r>
            <w:r>
              <w:rPr>
                <w:noProof/>
                <w:webHidden/>
              </w:rPr>
              <w:tab/>
            </w:r>
            <w:r>
              <w:rPr>
                <w:noProof/>
                <w:webHidden/>
              </w:rPr>
              <w:fldChar w:fldCharType="begin"/>
            </w:r>
            <w:r>
              <w:rPr>
                <w:noProof/>
                <w:webHidden/>
              </w:rPr>
              <w:instrText xml:space="preserve"> PAGEREF _Toc220678232 \h </w:instrText>
            </w:r>
            <w:r>
              <w:rPr>
                <w:noProof/>
                <w:webHidden/>
              </w:rPr>
            </w:r>
            <w:r>
              <w:rPr>
                <w:noProof/>
                <w:webHidden/>
              </w:rPr>
              <w:fldChar w:fldCharType="separate"/>
            </w:r>
            <w:r>
              <w:rPr>
                <w:noProof/>
                <w:webHidden/>
              </w:rPr>
              <w:t>7</w:t>
            </w:r>
            <w:r>
              <w:rPr>
                <w:noProof/>
                <w:webHidden/>
              </w:rPr>
              <w:fldChar w:fldCharType="end"/>
            </w:r>
          </w:hyperlink>
        </w:p>
        <w:p w:rsidR="00CA64F3" w:rsidRDefault="00CA64F3" w14:paraId="216EFA91" w14:textId="3DC09FFE">
          <w:pPr>
            <w:pStyle w:val="TOC1"/>
            <w:tabs>
              <w:tab w:val="left" w:pos="600"/>
              <w:tab w:val="right" w:leader="dot" w:pos="9288"/>
            </w:tabs>
            <w:rPr>
              <w:rFonts w:cstheme="minorBidi"/>
              <w:b w:val="0"/>
              <w:bCs w:val="0"/>
              <w:i w:val="0"/>
              <w:iCs w:val="0"/>
              <w:noProof/>
              <w:kern w:val="2"/>
              <w:lang w:val="en-DE" w:eastAsia="en-DE"/>
              <w14:ligatures w14:val="standardContextual"/>
            </w:rPr>
          </w:pPr>
          <w:hyperlink w:history="1" w:anchor="_Toc220678233">
            <w:r w:rsidRPr="00144266">
              <w:rPr>
                <w:rStyle w:val="Hyperlink"/>
                <w:noProof/>
              </w:rPr>
              <w:t>5.</w:t>
            </w:r>
            <w:r>
              <w:rPr>
                <w:rFonts w:cstheme="minorBidi"/>
                <w:b w:val="0"/>
                <w:bCs w:val="0"/>
                <w:i w:val="0"/>
                <w:iCs w:val="0"/>
                <w:noProof/>
                <w:kern w:val="2"/>
                <w:lang w:val="en-DE" w:eastAsia="en-DE"/>
                <w14:ligatures w14:val="standardContextual"/>
              </w:rPr>
              <w:tab/>
            </w:r>
            <w:r w:rsidRPr="00144266">
              <w:rPr>
                <w:rStyle w:val="Hyperlink"/>
                <w:noProof/>
              </w:rPr>
              <w:t>HOPS</w:t>
            </w:r>
            <w:r>
              <w:rPr>
                <w:noProof/>
                <w:webHidden/>
              </w:rPr>
              <w:tab/>
            </w:r>
            <w:r>
              <w:rPr>
                <w:noProof/>
                <w:webHidden/>
              </w:rPr>
              <w:fldChar w:fldCharType="begin"/>
            </w:r>
            <w:r>
              <w:rPr>
                <w:noProof/>
                <w:webHidden/>
              </w:rPr>
              <w:instrText xml:space="preserve"> PAGEREF _Toc220678233 \h </w:instrText>
            </w:r>
            <w:r>
              <w:rPr>
                <w:noProof/>
                <w:webHidden/>
              </w:rPr>
            </w:r>
            <w:r>
              <w:rPr>
                <w:noProof/>
                <w:webHidden/>
              </w:rPr>
              <w:fldChar w:fldCharType="separate"/>
            </w:r>
            <w:r>
              <w:rPr>
                <w:noProof/>
                <w:webHidden/>
              </w:rPr>
              <w:t>7</w:t>
            </w:r>
            <w:r>
              <w:rPr>
                <w:noProof/>
                <w:webHidden/>
              </w:rPr>
              <w:fldChar w:fldCharType="end"/>
            </w:r>
          </w:hyperlink>
        </w:p>
        <w:p w:rsidR="00CA64F3" w:rsidRDefault="00CA64F3" w14:paraId="398F543C" w14:textId="5D08ED6C">
          <w:pPr>
            <w:pStyle w:val="TOC1"/>
            <w:tabs>
              <w:tab w:val="left" w:pos="600"/>
              <w:tab w:val="right" w:leader="dot" w:pos="9288"/>
            </w:tabs>
            <w:rPr>
              <w:rFonts w:cstheme="minorBidi"/>
              <w:b w:val="0"/>
              <w:bCs w:val="0"/>
              <w:i w:val="0"/>
              <w:iCs w:val="0"/>
              <w:noProof/>
              <w:kern w:val="2"/>
              <w:lang w:val="en-DE" w:eastAsia="en-DE"/>
              <w14:ligatures w14:val="standardContextual"/>
            </w:rPr>
          </w:pPr>
          <w:hyperlink w:history="1" w:anchor="_Toc220678234">
            <w:r w:rsidRPr="00144266">
              <w:rPr>
                <w:rStyle w:val="Hyperlink"/>
                <w:noProof/>
              </w:rPr>
              <w:t>6.</w:t>
            </w:r>
            <w:r>
              <w:rPr>
                <w:rFonts w:cstheme="minorBidi"/>
                <w:b w:val="0"/>
                <w:bCs w:val="0"/>
                <w:i w:val="0"/>
                <w:iCs w:val="0"/>
                <w:noProof/>
                <w:kern w:val="2"/>
                <w:lang w:val="en-DE" w:eastAsia="en-DE"/>
                <w14:ligatures w14:val="standardContextual"/>
              </w:rPr>
              <w:tab/>
            </w:r>
            <w:r w:rsidRPr="00144266">
              <w:rPr>
                <w:rStyle w:val="Hyperlink"/>
                <w:noProof/>
              </w:rPr>
              <w:t>MAVIR</w:t>
            </w:r>
            <w:r>
              <w:rPr>
                <w:noProof/>
                <w:webHidden/>
              </w:rPr>
              <w:tab/>
            </w:r>
            <w:r>
              <w:rPr>
                <w:noProof/>
                <w:webHidden/>
              </w:rPr>
              <w:fldChar w:fldCharType="begin"/>
            </w:r>
            <w:r>
              <w:rPr>
                <w:noProof/>
                <w:webHidden/>
              </w:rPr>
              <w:instrText xml:space="preserve"> PAGEREF _Toc220678234 \h </w:instrText>
            </w:r>
            <w:r>
              <w:rPr>
                <w:noProof/>
                <w:webHidden/>
              </w:rPr>
            </w:r>
            <w:r>
              <w:rPr>
                <w:noProof/>
                <w:webHidden/>
              </w:rPr>
              <w:fldChar w:fldCharType="separate"/>
            </w:r>
            <w:r>
              <w:rPr>
                <w:noProof/>
                <w:webHidden/>
              </w:rPr>
              <w:t>8</w:t>
            </w:r>
            <w:r>
              <w:rPr>
                <w:noProof/>
                <w:webHidden/>
              </w:rPr>
              <w:fldChar w:fldCharType="end"/>
            </w:r>
          </w:hyperlink>
        </w:p>
        <w:p w:rsidR="00CA64F3" w:rsidRDefault="00CA64F3" w14:paraId="4A9F472E" w14:textId="3CA78526">
          <w:pPr>
            <w:pStyle w:val="TOC1"/>
            <w:tabs>
              <w:tab w:val="left" w:pos="600"/>
              <w:tab w:val="right" w:leader="dot" w:pos="9288"/>
            </w:tabs>
            <w:rPr>
              <w:rFonts w:cstheme="minorBidi"/>
              <w:b w:val="0"/>
              <w:bCs w:val="0"/>
              <w:i w:val="0"/>
              <w:iCs w:val="0"/>
              <w:noProof/>
              <w:kern w:val="2"/>
              <w:lang w:val="en-DE" w:eastAsia="en-DE"/>
              <w14:ligatures w14:val="standardContextual"/>
            </w:rPr>
          </w:pPr>
          <w:hyperlink w:history="1" w:anchor="_Toc220678235">
            <w:r w:rsidRPr="00144266">
              <w:rPr>
                <w:rStyle w:val="Hyperlink"/>
                <w:noProof/>
              </w:rPr>
              <w:t>7.</w:t>
            </w:r>
            <w:r>
              <w:rPr>
                <w:rFonts w:cstheme="minorBidi"/>
                <w:b w:val="0"/>
                <w:bCs w:val="0"/>
                <w:i w:val="0"/>
                <w:iCs w:val="0"/>
                <w:noProof/>
                <w:kern w:val="2"/>
                <w:lang w:val="en-DE" w:eastAsia="en-DE"/>
                <w14:ligatures w14:val="standardContextual"/>
              </w:rPr>
              <w:tab/>
            </w:r>
            <w:r w:rsidRPr="00144266">
              <w:rPr>
                <w:rStyle w:val="Hyperlink"/>
                <w:noProof/>
              </w:rPr>
              <w:t>PSE</w:t>
            </w:r>
            <w:r>
              <w:rPr>
                <w:noProof/>
                <w:webHidden/>
              </w:rPr>
              <w:tab/>
            </w:r>
            <w:r>
              <w:rPr>
                <w:noProof/>
                <w:webHidden/>
              </w:rPr>
              <w:fldChar w:fldCharType="begin"/>
            </w:r>
            <w:r>
              <w:rPr>
                <w:noProof/>
                <w:webHidden/>
              </w:rPr>
              <w:instrText xml:space="preserve"> PAGEREF _Toc220678235 \h </w:instrText>
            </w:r>
            <w:r>
              <w:rPr>
                <w:noProof/>
                <w:webHidden/>
              </w:rPr>
            </w:r>
            <w:r>
              <w:rPr>
                <w:noProof/>
                <w:webHidden/>
              </w:rPr>
              <w:fldChar w:fldCharType="separate"/>
            </w:r>
            <w:r>
              <w:rPr>
                <w:noProof/>
                <w:webHidden/>
              </w:rPr>
              <w:t>8</w:t>
            </w:r>
            <w:r>
              <w:rPr>
                <w:noProof/>
                <w:webHidden/>
              </w:rPr>
              <w:fldChar w:fldCharType="end"/>
            </w:r>
          </w:hyperlink>
        </w:p>
        <w:p w:rsidR="00CA64F3" w:rsidRDefault="00CA64F3" w14:paraId="5B7A9131" w14:textId="3892DF3F">
          <w:pPr>
            <w:pStyle w:val="TOC1"/>
            <w:tabs>
              <w:tab w:val="left" w:pos="600"/>
              <w:tab w:val="right" w:leader="dot" w:pos="9288"/>
            </w:tabs>
            <w:rPr>
              <w:rFonts w:cstheme="minorBidi"/>
              <w:b w:val="0"/>
              <w:bCs w:val="0"/>
              <w:i w:val="0"/>
              <w:iCs w:val="0"/>
              <w:noProof/>
              <w:kern w:val="2"/>
              <w:lang w:val="en-DE" w:eastAsia="en-DE"/>
              <w14:ligatures w14:val="standardContextual"/>
            </w:rPr>
          </w:pPr>
          <w:hyperlink w:history="1" w:anchor="_Toc220678236">
            <w:r w:rsidRPr="00144266">
              <w:rPr>
                <w:rStyle w:val="Hyperlink"/>
                <w:noProof/>
              </w:rPr>
              <w:t>8.</w:t>
            </w:r>
            <w:r>
              <w:rPr>
                <w:rFonts w:cstheme="minorBidi"/>
                <w:b w:val="0"/>
                <w:bCs w:val="0"/>
                <w:i w:val="0"/>
                <w:iCs w:val="0"/>
                <w:noProof/>
                <w:kern w:val="2"/>
                <w:lang w:val="en-DE" w:eastAsia="en-DE"/>
                <w14:ligatures w14:val="standardContextual"/>
              </w:rPr>
              <w:tab/>
            </w:r>
            <w:r w:rsidRPr="00144266">
              <w:rPr>
                <w:rStyle w:val="Hyperlink"/>
                <w:noProof/>
              </w:rPr>
              <w:t>RTE</w:t>
            </w:r>
            <w:r>
              <w:rPr>
                <w:noProof/>
                <w:webHidden/>
              </w:rPr>
              <w:tab/>
            </w:r>
            <w:r>
              <w:rPr>
                <w:noProof/>
                <w:webHidden/>
              </w:rPr>
              <w:fldChar w:fldCharType="begin"/>
            </w:r>
            <w:r>
              <w:rPr>
                <w:noProof/>
                <w:webHidden/>
              </w:rPr>
              <w:instrText xml:space="preserve"> PAGEREF _Toc220678236 \h </w:instrText>
            </w:r>
            <w:r>
              <w:rPr>
                <w:noProof/>
                <w:webHidden/>
              </w:rPr>
            </w:r>
            <w:r>
              <w:rPr>
                <w:noProof/>
                <w:webHidden/>
              </w:rPr>
              <w:fldChar w:fldCharType="separate"/>
            </w:r>
            <w:r>
              <w:rPr>
                <w:noProof/>
                <w:webHidden/>
              </w:rPr>
              <w:t>8</w:t>
            </w:r>
            <w:r>
              <w:rPr>
                <w:noProof/>
                <w:webHidden/>
              </w:rPr>
              <w:fldChar w:fldCharType="end"/>
            </w:r>
          </w:hyperlink>
        </w:p>
        <w:p w:rsidR="00CA64F3" w:rsidRDefault="00CA64F3" w14:paraId="0820EAB5" w14:textId="78520DDC">
          <w:pPr>
            <w:pStyle w:val="TOC1"/>
            <w:tabs>
              <w:tab w:val="left" w:pos="600"/>
              <w:tab w:val="right" w:leader="dot" w:pos="9288"/>
            </w:tabs>
            <w:rPr>
              <w:rFonts w:cstheme="minorBidi"/>
              <w:b w:val="0"/>
              <w:bCs w:val="0"/>
              <w:i w:val="0"/>
              <w:iCs w:val="0"/>
              <w:noProof/>
              <w:kern w:val="2"/>
              <w:lang w:val="en-DE" w:eastAsia="en-DE"/>
              <w14:ligatures w14:val="standardContextual"/>
            </w:rPr>
          </w:pPr>
          <w:hyperlink w:history="1" w:anchor="_Toc220678237">
            <w:r w:rsidRPr="00144266">
              <w:rPr>
                <w:rStyle w:val="Hyperlink"/>
                <w:noProof/>
              </w:rPr>
              <w:t>9.</w:t>
            </w:r>
            <w:r>
              <w:rPr>
                <w:rFonts w:cstheme="minorBidi"/>
                <w:b w:val="0"/>
                <w:bCs w:val="0"/>
                <w:i w:val="0"/>
                <w:iCs w:val="0"/>
                <w:noProof/>
                <w:kern w:val="2"/>
                <w:lang w:val="en-DE" w:eastAsia="en-DE"/>
                <w14:ligatures w14:val="standardContextual"/>
              </w:rPr>
              <w:tab/>
            </w:r>
            <w:r w:rsidRPr="00144266">
              <w:rPr>
                <w:rStyle w:val="Hyperlink"/>
                <w:noProof/>
              </w:rPr>
              <w:t>SEPS</w:t>
            </w:r>
            <w:r>
              <w:rPr>
                <w:noProof/>
                <w:webHidden/>
              </w:rPr>
              <w:tab/>
            </w:r>
            <w:r>
              <w:rPr>
                <w:noProof/>
                <w:webHidden/>
              </w:rPr>
              <w:fldChar w:fldCharType="begin"/>
            </w:r>
            <w:r>
              <w:rPr>
                <w:noProof/>
                <w:webHidden/>
              </w:rPr>
              <w:instrText xml:space="preserve"> PAGEREF _Toc220678237 \h </w:instrText>
            </w:r>
            <w:r>
              <w:rPr>
                <w:noProof/>
                <w:webHidden/>
              </w:rPr>
            </w:r>
            <w:r>
              <w:rPr>
                <w:noProof/>
                <w:webHidden/>
              </w:rPr>
              <w:fldChar w:fldCharType="separate"/>
            </w:r>
            <w:r>
              <w:rPr>
                <w:noProof/>
                <w:webHidden/>
              </w:rPr>
              <w:t>8</w:t>
            </w:r>
            <w:r>
              <w:rPr>
                <w:noProof/>
                <w:webHidden/>
              </w:rPr>
              <w:fldChar w:fldCharType="end"/>
            </w:r>
          </w:hyperlink>
        </w:p>
        <w:p w:rsidR="00CA64F3" w:rsidRDefault="00CA64F3" w14:paraId="71D8D66D" w14:textId="0B85F6CA">
          <w:pPr>
            <w:pStyle w:val="TOC1"/>
            <w:tabs>
              <w:tab w:val="left" w:pos="600"/>
              <w:tab w:val="right" w:leader="dot" w:pos="9288"/>
            </w:tabs>
            <w:rPr>
              <w:rFonts w:cstheme="minorBidi"/>
              <w:b w:val="0"/>
              <w:bCs w:val="0"/>
              <w:i w:val="0"/>
              <w:iCs w:val="0"/>
              <w:noProof/>
              <w:kern w:val="2"/>
              <w:lang w:val="en-DE" w:eastAsia="en-DE"/>
              <w14:ligatures w14:val="standardContextual"/>
            </w:rPr>
          </w:pPr>
          <w:hyperlink w:history="1" w:anchor="_Toc220678238">
            <w:r w:rsidRPr="00144266">
              <w:rPr>
                <w:rStyle w:val="Hyperlink"/>
                <w:noProof/>
              </w:rPr>
              <w:t>10.</w:t>
            </w:r>
            <w:r>
              <w:rPr>
                <w:rFonts w:cstheme="minorBidi"/>
                <w:b w:val="0"/>
                <w:bCs w:val="0"/>
                <w:i w:val="0"/>
                <w:iCs w:val="0"/>
                <w:noProof/>
                <w:kern w:val="2"/>
                <w:lang w:val="en-DE" w:eastAsia="en-DE"/>
                <w14:ligatures w14:val="standardContextual"/>
              </w:rPr>
              <w:tab/>
            </w:r>
            <w:r w:rsidRPr="00144266">
              <w:rPr>
                <w:rStyle w:val="Hyperlink"/>
                <w:noProof/>
              </w:rPr>
              <w:t>Transelectrica</w:t>
            </w:r>
            <w:r>
              <w:rPr>
                <w:noProof/>
                <w:webHidden/>
              </w:rPr>
              <w:tab/>
            </w:r>
            <w:r>
              <w:rPr>
                <w:noProof/>
                <w:webHidden/>
              </w:rPr>
              <w:fldChar w:fldCharType="begin"/>
            </w:r>
            <w:r>
              <w:rPr>
                <w:noProof/>
                <w:webHidden/>
              </w:rPr>
              <w:instrText xml:space="preserve"> PAGEREF _Toc220678238 \h </w:instrText>
            </w:r>
            <w:r>
              <w:rPr>
                <w:noProof/>
                <w:webHidden/>
              </w:rPr>
            </w:r>
            <w:r>
              <w:rPr>
                <w:noProof/>
                <w:webHidden/>
              </w:rPr>
              <w:fldChar w:fldCharType="separate"/>
            </w:r>
            <w:r>
              <w:rPr>
                <w:noProof/>
                <w:webHidden/>
              </w:rPr>
              <w:t>8</w:t>
            </w:r>
            <w:r>
              <w:rPr>
                <w:noProof/>
                <w:webHidden/>
              </w:rPr>
              <w:fldChar w:fldCharType="end"/>
            </w:r>
          </w:hyperlink>
        </w:p>
        <w:p w:rsidR="799E5D96" w:rsidP="799E5D96" w:rsidRDefault="799E5D96" w14:paraId="6AFF0DE0" w14:textId="26A7080A">
          <w:pPr>
            <w:pStyle w:val="TOC1"/>
            <w:tabs>
              <w:tab w:val="left" w:pos="390"/>
              <w:tab w:val="right" w:leader="dot" w:pos="9285"/>
            </w:tabs>
            <w:rPr>
              <w:rStyle w:val="Hyperlink"/>
            </w:rPr>
          </w:pPr>
          <w:r>
            <w:fldChar w:fldCharType="end"/>
          </w:r>
        </w:p>
      </w:sdtContent>
      <w:sdtEndPr>
        <w:rPr>
          <w:rFonts w:ascii="Arial" w:hAnsi="Arial" w:cs="Arial" w:asciiTheme="minorAscii" w:hAnsiTheme="minorAscii" w:cstheme="minorAscii"/>
          <w:b w:val="1"/>
          <w:bCs w:val="1"/>
          <w:i w:val="1"/>
          <w:iCs w:val="1"/>
          <w:sz w:val="24"/>
          <w:szCs w:val="24"/>
        </w:rPr>
      </w:sdtEndPr>
    </w:sdt>
    <w:p w:rsidR="0012099C" w:rsidP="3D3D809A" w:rsidRDefault="0012099C" w14:paraId="54486E88" w14:textId="7BE510CA">
      <w:pPr>
        <w:pStyle w:val="TOC1"/>
        <w:tabs>
          <w:tab w:val="left" w:pos="480"/>
          <w:tab w:val="right" w:leader="dot" w:pos="9285"/>
        </w:tabs>
        <w:rPr>
          <w:rStyle w:val="Hyperlink"/>
          <w:noProof/>
          <w:kern w:val="2"/>
          <w14:ligatures w14:val="standardContextual"/>
        </w:rPr>
      </w:pPr>
    </w:p>
    <w:p w:rsidR="00AC6725" w:rsidP="0A478607" w:rsidRDefault="00AC6725" w14:paraId="06647A8E" w14:textId="79C5300B">
      <w:pPr>
        <w:pStyle w:val="TOC1"/>
        <w:tabs>
          <w:tab w:val="left" w:pos="480"/>
          <w:tab w:val="right" w:leader="dot" w:pos="9285"/>
        </w:tabs>
        <w:rPr>
          <w:rStyle w:val="Hyperlink"/>
          <w:noProof/>
          <w:kern w:val="2"/>
          <w:lang w:eastAsia="en-GB"/>
          <w14:ligatures w14:val="standardContextual"/>
        </w:rPr>
      </w:pPr>
    </w:p>
    <w:p w:rsidR="00D46052" w:rsidRDefault="00D46052" w14:paraId="01D00901" w14:textId="57BE4BC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006F03" w:rsidP="54C48B70" w:rsidRDefault="799E5D96" w14:paraId="3B6A9FD0" w14:textId="572C2450">
      <w:pPr>
        <w:pStyle w:val="Heading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Start w:name="_Toc220678223" w:id="19"/>
      <w:bookmarkEnd w:id="7"/>
      <w:bookmarkEnd w:id="8"/>
      <w:bookmarkEnd w:id="9"/>
      <w:bookmarkEnd w:id="10"/>
      <w:bookmarkEnd w:id="11"/>
      <w:bookmarkEnd w:id="12"/>
      <w:r>
        <w:t>Introduction</w:t>
      </w:r>
      <w:bookmarkStart w:name="_Toc470688454" w:id="20"/>
      <w:bookmarkStart w:name="_Toc470689108" w:id="21"/>
      <w:bookmarkEnd w:id="13"/>
      <w:bookmarkEnd w:id="14"/>
      <w:bookmarkEnd w:id="15"/>
      <w:bookmarkEnd w:id="16"/>
      <w:bookmarkEnd w:id="17"/>
      <w:bookmarkEnd w:id="18"/>
      <w:bookmarkEnd w:id="19"/>
      <w:bookmarkEnd w:id="20"/>
      <w:bookmarkEnd w:id="21"/>
    </w:p>
    <w:p w:rsidR="3946F685" w:rsidP="3946F685" w:rsidRDefault="54C48B70" w14:paraId="584C4529" w14:textId="230D515D">
      <w:r w:rsidRPr="54C48B70">
        <w:rPr>
          <w:rFonts w:eastAsia="Arial" w:cs="Arial"/>
          <w:color w:val="000000" w:themeColor="text1"/>
        </w:rPr>
        <w:t xml:space="preserve">This annex contains the required information for each Core TSO that has applied capacity reductions for its CNECs in more than 1% of ID CC MTUs of the analysed quarter as described per Article 18(12). </w:t>
      </w:r>
      <w:r w:rsidRPr="54C48B70">
        <w:rPr>
          <w:rFonts w:eastAsia="Arial" w:cs="Arial"/>
        </w:rPr>
        <w:t xml:space="preserve"> </w:t>
      </w:r>
    </w:p>
    <w:bookmarkEnd w:id="6"/>
    <w:p w:rsidR="54C48B70" w:rsidRDefault="54C48B70" w14:paraId="661E246D" w14:textId="5E8EDC0F">
      <w:r>
        <w:br w:type="page"/>
      </w:r>
    </w:p>
    <w:p w:rsidRPr="00272671" w:rsidR="00E313E3" w:rsidP="00272671" w:rsidRDefault="0C1167D6" w14:paraId="0D8124DD" w14:textId="4D00C96F">
      <w:pPr>
        <w:pStyle w:val="Heading1"/>
      </w:pPr>
      <w:bookmarkStart w:name="_Toc73696910" w:id="22"/>
      <w:bookmarkStart w:name="_Toc220678224" w:id="23"/>
      <w:r>
        <w:t>CEPS</w:t>
      </w:r>
      <w:bookmarkEnd w:id="22"/>
      <w:bookmarkEnd w:id="23"/>
    </w:p>
    <w:p w:rsidR="0C1167D6" w:rsidP="00096F61" w:rsidRDefault="0C1167D6" w14:paraId="3C46D556" w14:textId="696E1EBB">
      <w:pPr>
        <w:rPr>
          <w:rFonts w:eastAsia="Arial"/>
        </w:rPr>
      </w:pPr>
      <w:r w:rsidRPr="0C1167D6">
        <w:rPr>
          <w:rFonts w:eastAsia="Arial"/>
        </w:rPr>
        <w:t>During the fourth quarter of 2025, the Czech transmission system operator (ČEPS) applied the Individual Validation Adjustment (IVA) procedure a total of 945 times in 423 distinct MTUs.</w:t>
      </w:r>
    </w:p>
    <w:p w:rsidR="0C1167D6" w:rsidP="00096F61" w:rsidRDefault="0C1167D6" w14:paraId="2F9C09EC" w14:textId="7C0310EB">
      <w:pPr>
        <w:rPr>
          <w:rFonts w:eastAsia="Arial"/>
        </w:rPr>
      </w:pPr>
      <w:r w:rsidRPr="0C1167D6">
        <w:rPr>
          <w:rFonts w:eastAsia="Arial"/>
        </w:rPr>
        <w:t>These adjustments were exclusively related to the V404, V497, V443 and V444 interconnection lines located in the CZ–PL–SK corner of the grid—an area consistently subject to high transit flow pressure.</w:t>
      </w:r>
    </w:p>
    <w:p w:rsidR="0C1167D6" w:rsidP="00096F61" w:rsidRDefault="0C1167D6" w14:paraId="467D7A81" w14:textId="12053322">
      <w:pPr>
        <w:rPr>
          <w:rFonts w:eastAsia="Arial"/>
        </w:rPr>
      </w:pPr>
      <w:r w:rsidRPr="0C1167D6">
        <w:rPr>
          <w:rFonts w:eastAsia="Arial"/>
        </w:rPr>
        <w:t xml:space="preserve">A significant portion of the IVA applications stemmed from the fact that these lines were already heavily utilized in the day-ahead market, despite meeting the 70% cross-zonal capacity criterion. This pre-existing usage limited operational flexibility and, in several cases, triggered the need for IVA due to insufficient margin for secure operation. </w:t>
      </w:r>
    </w:p>
    <w:p w:rsidR="0C1167D6" w:rsidP="00096F61" w:rsidRDefault="0C1167D6" w14:paraId="7E0F47DA" w14:textId="335EFEBE">
      <w:pPr>
        <w:rPr>
          <w:rFonts w:eastAsia="Arial"/>
        </w:rPr>
      </w:pPr>
      <w:r w:rsidRPr="0C1167D6">
        <w:rPr>
          <w:rFonts w:eastAsia="Arial"/>
        </w:rPr>
        <w:t>In this period (Q4/2025), one of the two 400 kV cross-zonal connections between the CZ and AT bidding zones was undergoing planned maintenance, and the remaining one was also subject to a temporary outage related to maintenance and partial upgrades. As a consequence, there was a period during which no 400 kV connection between the two bidding zones was available. During this time, all market flows in the highly in-demand direction from Western to Southeastern Europe were redirected to parallel transmission paths—primarily through the 220 kV cross-zonal lines between CZ and AT and through all available cross-zonal lines along the CZ–SK border. The resulting grid situation is illustrated in the accompanying figure (with lines in planned outage marked in blue and lines with IVA applications marked in red).</w:t>
      </w:r>
    </w:p>
    <w:p w:rsidR="0C1167D6" w:rsidP="00096F61" w:rsidRDefault="0C1167D6" w14:paraId="44E6CB41" w14:textId="0A5CCF8D">
      <w:pPr>
        <w:rPr>
          <w:rFonts w:eastAsia="Arial"/>
        </w:rPr>
      </w:pPr>
      <w:r w:rsidRPr="0C1167D6">
        <w:rPr>
          <w:rFonts w:eastAsia="Arial"/>
        </w:rPr>
        <w:t>Additionally, some instances of IVA were prompted by unresolved grid issues within the DACF (Day-Ahead Congestion Forecast) models used for running the IDCC(b). These deficiencies made the initial forecasts unsuitable for reliable capacity evaluation, necessitating validation adjustments to maintain system security.</w:t>
      </w:r>
    </w:p>
    <w:p w:rsidR="0C1167D6" w:rsidP="00096F61" w:rsidRDefault="0C1167D6" w14:paraId="500651B4" w14:textId="76FD630A">
      <w:pPr>
        <w:rPr>
          <w:rFonts w:eastAsia="Arial"/>
        </w:rPr>
      </w:pPr>
      <w:r w:rsidRPr="0C1167D6">
        <w:rPr>
          <w:rFonts w:eastAsia="Arial"/>
        </w:rPr>
        <w:t>The increased frequency of IVA in Q4 reflects the operational challenges in a highly utilized grid region, while also underscoring ČEPS's proactive approach in adapting to forecast limitations and preserving grid security under pressure.</w:t>
      </w:r>
    </w:p>
    <w:p w:rsidRPr="00096F61" w:rsidR="0C1167D6" w:rsidP="0C1167D6" w:rsidRDefault="0C1167D6" w14:paraId="4264AED4" w14:textId="5BEEADEC">
      <w:pPr>
        <w:rPr>
          <w:rFonts w:eastAsia="Arial"/>
        </w:rPr>
      </w:pPr>
      <w:r w:rsidRPr="0C1167D6">
        <w:rPr>
          <w:rFonts w:eastAsia="Arial"/>
        </w:rPr>
        <w:t xml:space="preserve">Starting in November, SEPS implemented its seasonal “winter” limit on the V404 Nošovice–Varín line, as it is not yet prepared to apply DLR, which would otherwise allow for higher utilization of this corridor. Since the beginning of the month, we have not observed any significant reductions. In Q1/2026 we can see a significant drop in IVA use. </w:t>
      </w:r>
    </w:p>
    <w:p w:rsidRPr="00272671" w:rsidR="03D1E99D" w:rsidP="00272671" w:rsidRDefault="799E5D96" w14:paraId="2E0D852A" w14:textId="0F9F936C">
      <w:pPr>
        <w:pStyle w:val="Heading1"/>
      </w:pPr>
      <w:bookmarkStart w:name="_Toc220678225" w:id="24"/>
      <w:r>
        <w:t>DAVinCy TSOs</w:t>
      </w:r>
      <w:bookmarkEnd w:id="24"/>
    </w:p>
    <w:p w:rsidR="4531C545" w:rsidP="4531C545" w:rsidRDefault="7B1D2CAE" w14:paraId="3FB1A505" w14:textId="4E6E8B7A">
      <w:pPr>
        <w:pStyle w:val="Heading2"/>
      </w:pPr>
      <w:bookmarkStart w:name="_Toc220678226" w:id="25"/>
      <w:r>
        <w:t>APG</w:t>
      </w:r>
      <w:bookmarkEnd w:id="25"/>
    </w:p>
    <w:p w:rsidR="7B1D2CAE" w:rsidP="00096F61" w:rsidRDefault="7B1D2CAE" w14:paraId="41C70312" w14:textId="6B52FF18">
      <w:pPr>
        <w:pStyle w:val="Heading3"/>
        <w:rPr>
          <w:lang w:val="en-IE"/>
        </w:rPr>
      </w:pPr>
      <w:bookmarkStart w:name="_Toc220678227" w:id="26"/>
      <w:r w:rsidRPr="7B1D2CAE">
        <w:rPr>
          <w:lang w:val="en-IE"/>
        </w:rPr>
        <w:t>Overview</w:t>
      </w:r>
      <w:bookmarkEnd w:id="26"/>
      <w:r w:rsidRPr="7B1D2CAE">
        <w:rPr>
          <w:lang w:val="en-IE"/>
        </w:rPr>
        <w:t xml:space="preserve"> </w:t>
      </w:r>
    </w:p>
    <w:p w:rsidR="7B1D2CAE" w:rsidP="00096F61" w:rsidRDefault="7B1D2CAE" w14:paraId="7964BDC6" w14:textId="126E6F6B">
      <w:pPr>
        <w:rPr>
          <w:rFonts w:eastAsia="Arial"/>
        </w:rPr>
      </w:pPr>
      <w:r w:rsidRPr="7B1D2CAE">
        <w:rPr>
          <w:rFonts w:eastAsia="Arial"/>
        </w:rPr>
        <w:t xml:space="preserve">ATC reductions are essential to prevent network overloads due to the challenges outlined below along with their mitigation measures. For IDCC(a), APG performs ATC validation, while for IDCC(b), a dual-validation approach is applied, combining ATC validation with IVA validation in coordination with six iDaVincy TSOs. This dual approach ensures robustness, particularly in special grid situations or when delays or limitations occur in the IVA process due to its relative novelty. </w:t>
      </w:r>
    </w:p>
    <w:p w:rsidR="7B1D2CAE" w:rsidP="00096F61" w:rsidRDefault="7B1D2CAE" w14:paraId="1A678541" w14:textId="4A33F2A2">
      <w:pPr>
        <w:rPr>
          <w:rFonts w:eastAsia="Arial"/>
        </w:rPr>
      </w:pPr>
      <w:r w:rsidRPr="7B1D2CAE">
        <w:rPr>
          <w:rFonts w:eastAsia="Arial"/>
          <w:b/>
          <w:bCs/>
        </w:rPr>
        <w:t>APG’s geographic location and outdated trading results from non-Core bidding zones</w:t>
      </w:r>
      <w:r w:rsidRPr="7B1D2CAE">
        <w:rPr>
          <w:rFonts w:eastAsia="Arial"/>
        </w:rPr>
        <w:t xml:space="preserve"> </w:t>
      </w:r>
    </w:p>
    <w:p w:rsidR="7B1D2CAE" w:rsidP="00096F61" w:rsidRDefault="7B1D2CAE" w14:paraId="6BE0035D" w14:textId="3C73F434">
      <w:pPr>
        <w:rPr>
          <w:rFonts w:eastAsia="Arial"/>
        </w:rPr>
      </w:pPr>
      <w:r w:rsidRPr="7B1D2CAE">
        <w:rPr>
          <w:rFonts w:eastAsia="Arial"/>
          <w:lang w:val="en-GB"/>
        </w:rPr>
        <w:t>APG’s central position in the interconnected European grid, belonging to three capacity calculation regions (Core, Italy North, and SNB), and its proximity to the Balkans, increases APG’s CNEC loading sensitivity to deviations between forecasted and actual conditions as well as misalignments between the regions. This unique position amplifies the impact of outdated market data. For IDCC(a), the use of outdated non-</w:t>
      </w:r>
      <w:r w:rsidRPr="7B1D2CAE">
        <w:rPr>
          <w:rFonts w:eastAsia="Arial"/>
          <w:lang w:val="en-GB"/>
        </w:rPr>
        <w:t xml:space="preserve">Core D-2 SDAC net positions often leads to discrepancies. Similarly, IDCC(b) is based on the non-Core SIDC status of 16:00 D-1, failing to account for market changes up to 21:40 D-1. This can result in overestimated ATCs that risk physical overloads.  </w:t>
      </w:r>
    </w:p>
    <w:p w:rsidR="7B1D2CAE" w:rsidP="00096F61" w:rsidRDefault="7B1D2CAE" w14:paraId="346C989E" w14:textId="31150F1E">
      <w:pPr>
        <w:rPr>
          <w:rFonts w:eastAsia="Arial"/>
        </w:rPr>
      </w:pPr>
      <w:r w:rsidRPr="7B1D2CAE">
        <w:rPr>
          <w:rFonts w:eastAsia="Arial"/>
        </w:rPr>
        <w:t xml:space="preserve">To address these issues, APG updates non-Core net positions during validation to align with actual market outcome. Additionally, APG is driving enhancements to the Core Capacity Calculation Tool to enable IDCC(a) capacities to incorporate all updated SDAC net positions and IDCC(b) capacities to use all the latest SIDC net positions. These improvements aim to enhance accuracy, reduce unnecessary local reductions, and improve operational efficiency, leading to a significant decrease in limitations during the validation step. </w:t>
      </w:r>
    </w:p>
    <w:p w:rsidR="7B1D2CAE" w:rsidP="00096F61" w:rsidRDefault="7B1D2CAE" w14:paraId="1D4A9080" w14:textId="6AF2407A">
      <w:pPr>
        <w:rPr>
          <w:rFonts w:eastAsia="Arial"/>
        </w:rPr>
      </w:pPr>
      <w:r w:rsidRPr="7330EC26" w:rsidR="7330EC26">
        <w:rPr>
          <w:rFonts w:eastAsia="Arial"/>
        </w:rPr>
        <w:t xml:space="preserve">In general, enhanced synchronization across CCRs can ensure more consistent and reliable capacity calculations, which could prevent mismatches and reduce the frequent triggering of local validations. The introduction of the CE CCR, that will cover the Core and the Italy North CCRs, </w:t>
      </w:r>
      <w:r w:rsidRPr="7330EC26" w:rsidR="7330EC26">
        <w:rPr>
          <w:rFonts w:eastAsia="Arial"/>
        </w:rPr>
        <w:t>represents</w:t>
      </w:r>
      <w:r w:rsidRPr="7330EC26" w:rsidR="7330EC26">
        <w:rPr>
          <w:rFonts w:eastAsia="Arial"/>
        </w:rPr>
        <w:t xml:space="preserve"> a significant step toward more </w:t>
      </w:r>
      <w:r w:rsidRPr="7330EC26" w:rsidR="7330EC26">
        <w:rPr>
          <w:rFonts w:eastAsia="Arial"/>
        </w:rPr>
        <w:t>accurate</w:t>
      </w:r>
      <w:r w:rsidRPr="7330EC26" w:rsidR="7330EC26">
        <w:rPr>
          <w:rFonts w:eastAsia="Arial"/>
        </w:rPr>
        <w:t xml:space="preserve"> IDCC(a) capacities. </w:t>
      </w:r>
    </w:p>
    <w:p w:rsidR="7330EC26" w:rsidP="7330EC26" w:rsidRDefault="7330EC26" w14:paraId="40A230D8" w14:textId="64CAEE24">
      <w:pPr>
        <w:rPr>
          <w:rFonts w:eastAsia="Arial"/>
        </w:rPr>
      </w:pPr>
    </w:p>
    <w:p w:rsidR="7B1D2CAE" w:rsidP="00096F61" w:rsidRDefault="7B1D2CAE" w14:paraId="18BC9819" w14:textId="3F98D653">
      <w:pPr>
        <w:rPr>
          <w:rFonts w:eastAsia="Arial"/>
          <w:color w:val="000000" w:themeColor="text1"/>
        </w:rPr>
      </w:pPr>
      <w:r w:rsidRPr="7B1D2CAE">
        <w:rPr>
          <w:rFonts w:eastAsia="Arial" w:cs="Arial"/>
          <w:b/>
          <w:bCs/>
          <w:color w:val="000000" w:themeColor="text1"/>
        </w:rPr>
        <w:t xml:space="preserve">Neglect CNECs with small PTDF and RAM combinations. </w:t>
      </w:r>
    </w:p>
    <w:p w:rsidR="7B1D2CAE" w:rsidP="00096F61" w:rsidRDefault="7B1D2CAE" w14:paraId="4F5ED691" w14:textId="156F5703">
      <w:pPr>
        <w:rPr>
          <w:rFonts w:eastAsia="Arial" w:cs="Arial"/>
          <w:color w:val="000000" w:themeColor="text1"/>
        </w:rPr>
      </w:pPr>
      <w:r w:rsidRPr="7330EC26" w:rsidR="7330EC26">
        <w:rPr>
          <w:rFonts w:eastAsia="Arial" w:cs="Arial"/>
          <w:color w:val="000000" w:themeColor="text1" w:themeTint="FF" w:themeShade="FF"/>
        </w:rPr>
        <w:t xml:space="preserve">The central ATC extraction algorithm excludes CNECs with RAM below 10 MW for IDCC(a) and 50 MW for IDCC(b) border where their PTDF is ≤ 1% for IDCC(a) and 3% for IDCC(b). This can result in the allocation of non-existent capacities. To mitigate this and ensure operational grid security, APG validates all Austrian CNECs. </w:t>
      </w:r>
    </w:p>
    <w:p w:rsidR="7330EC26" w:rsidP="7330EC26" w:rsidRDefault="7330EC26" w14:paraId="46A473E1" w14:textId="0A9EB0DE">
      <w:pPr>
        <w:rPr>
          <w:rFonts w:eastAsia="Arial" w:cs="Arial"/>
          <w:color w:val="000000" w:themeColor="text1" w:themeTint="FF" w:themeShade="FF"/>
        </w:rPr>
      </w:pPr>
    </w:p>
    <w:p w:rsidR="7B1D2CAE" w:rsidP="00096F61" w:rsidRDefault="7B1D2CAE" w14:paraId="18A0F773" w14:textId="6A436C8D">
      <w:pPr>
        <w:rPr>
          <w:rFonts w:eastAsia="Arial"/>
          <w:color w:val="000000" w:themeColor="text1"/>
        </w:rPr>
      </w:pPr>
      <w:r w:rsidRPr="7B1D2CAE">
        <w:rPr>
          <w:rFonts w:eastAsia="Arial" w:cs="Arial"/>
          <w:b/>
          <w:bCs/>
          <w:color w:val="000000" w:themeColor="text1"/>
        </w:rPr>
        <w:t xml:space="preserve">Need for limitations higher than initial ATCs due to ATC redistribution </w:t>
      </w:r>
    </w:p>
    <w:p w:rsidR="7B1D2CAE" w:rsidP="00096F61" w:rsidRDefault="7B1D2CAE" w14:paraId="3E5D81E1" w14:textId="455C0B56">
      <w:pPr>
        <w:rPr>
          <w:rFonts w:eastAsia="Arial" w:cs="Arial"/>
          <w:color w:val="000000" w:themeColor="text1"/>
        </w:rPr>
      </w:pPr>
      <w:r w:rsidRPr="7B1D2CAE">
        <w:rPr>
          <w:rFonts w:eastAsia="Arial" w:cs="Arial"/>
          <w:color w:val="000000" w:themeColor="text1"/>
        </w:rPr>
        <w:t xml:space="preserve">During the validation process, APG can only assess whether the given initial ATCs result in a combination of ATCs that do not overload any APG CNEC. However, due to the central calculation design, a redistribution of ATCs after validation is possible. This redistribution can lead to a completely new set of ATCs that were not known during the validation phase. </w:t>
      </w:r>
    </w:p>
    <w:p w:rsidR="7B1D2CAE" w:rsidP="00096F61" w:rsidRDefault="7B1D2CAE" w14:paraId="1BD9AEA2" w14:textId="78004388">
      <w:pPr>
        <w:rPr>
          <w:rFonts w:eastAsia="Arial"/>
        </w:rPr>
      </w:pPr>
      <w:r w:rsidRPr="7B1D2CAE">
        <w:rPr>
          <w:rFonts w:eastAsia="Arial"/>
        </w:rPr>
        <w:t xml:space="preserve">As a result, even when the initial ATCs pose no risk, APG calculates validated ATCs that are slightly higher than the initial ATCs. These validated ATCs can subsequently limit the final ATCs in case of significant increases caused by redistribution. </w:t>
      </w:r>
    </w:p>
    <w:p w:rsidR="7B1D2CAE" w:rsidP="00096F61" w:rsidRDefault="7B1D2CAE" w14:paraId="661FABE5" w14:textId="33F125D1">
      <w:pPr>
        <w:rPr>
          <w:rFonts w:eastAsia="Arial"/>
        </w:rPr>
      </w:pPr>
      <w:r w:rsidRPr="7B1D2CAE">
        <w:rPr>
          <w:rFonts w:eastAsia="Arial"/>
        </w:rPr>
        <w:t xml:space="preserve">This approach is particularly important given the impact of neglected flows, as it ensures grid security despite potential redistributions. </w:t>
      </w:r>
    </w:p>
    <w:p w:rsidR="7B1D2CAE" w:rsidP="00096F61" w:rsidRDefault="7B1D2CAE" w14:paraId="6AFE2E58" w14:textId="6D2CB614">
      <w:pPr>
        <w:rPr>
          <w:rFonts w:eastAsia="Arial"/>
        </w:rPr>
      </w:pPr>
      <w:r w:rsidRPr="7330EC26" w:rsidR="7330EC26">
        <w:rPr>
          <w:rFonts w:eastAsia="Arial"/>
        </w:rPr>
        <w:t xml:space="preserve">Unlike ATC validation, IVA validation can only result in lower capacities. Thus, a validated </w:t>
      </w:r>
      <w:r w:rsidRPr="7330EC26" w:rsidR="7330EC26">
        <w:rPr>
          <w:rFonts w:eastAsia="Arial"/>
        </w:rPr>
        <w:t>initial</w:t>
      </w:r>
      <w:r w:rsidRPr="7330EC26" w:rsidR="7330EC26">
        <w:rPr>
          <w:rFonts w:eastAsia="Arial"/>
        </w:rPr>
        <w:t xml:space="preserve"> domain that does not compromise grid security will remain secure after the validation step because the IVA process effectively restricts the FB domain to ensure safety. </w:t>
      </w:r>
    </w:p>
    <w:p w:rsidR="7330EC26" w:rsidP="7330EC26" w:rsidRDefault="7330EC26" w14:paraId="78D97F8F" w14:textId="0CCF0AD7">
      <w:pPr>
        <w:rPr>
          <w:rFonts w:eastAsia="Arial"/>
        </w:rPr>
      </w:pPr>
    </w:p>
    <w:p w:rsidR="7B1D2CAE" w:rsidP="00096F61" w:rsidRDefault="7B1D2CAE" w14:paraId="76CC2673" w14:textId="12915A6D">
      <w:pPr>
        <w:rPr>
          <w:rFonts w:eastAsia="Arial"/>
        </w:rPr>
      </w:pPr>
      <w:r w:rsidRPr="7B1D2CAE">
        <w:rPr>
          <w:rFonts w:eastAsia="Arial"/>
          <w:b/>
          <w:bCs/>
        </w:rPr>
        <w:t xml:space="preserve">Congestion Management Process Design Risks    </w:t>
      </w:r>
    </w:p>
    <w:p w:rsidR="7B1D2CAE" w:rsidP="00096F61" w:rsidRDefault="7B1D2CAE" w14:paraId="08995625" w14:textId="025C5BDB">
      <w:pPr>
        <w:rPr>
          <w:rFonts w:eastAsia="Arial"/>
        </w:rPr>
      </w:pPr>
      <w:r w:rsidRPr="7B1D2CAE">
        <w:rPr>
          <w:rFonts w:eastAsia="Arial"/>
        </w:rPr>
        <w:t xml:space="preserve">APG was a main driver in incorporating IDA1 and continuous trading results (up to 16:00 D-1) into DACF grid models, improving their quality for congestion management and IDCC(b) capacity calculations. However, several challenges remain: Not all TSOs provide power-plant-level data, reducing the models' granularity and trades occurring between 16:00 D-1 and 21:40 D-1 remain uncaptured. APG needs to consider these risks in its validation. To address these gaps, APG emphasizes the need for TSOs to include more granular data and advocates for faster congestion management processes. These improvements could mitigate risks and enhance the accuracy of IDCC(b) capacities.  </w:t>
      </w:r>
    </w:p>
    <w:p w:rsidR="7B1D2CAE" w:rsidP="00096F61" w:rsidRDefault="7B1D2CAE" w14:paraId="5BA71DE7" w14:textId="3AB4E74D">
      <w:pPr>
        <w:pStyle w:val="Heading3"/>
      </w:pPr>
      <w:bookmarkStart w:name="_Toc220678228" w:id="27"/>
      <w:r w:rsidRPr="7B1D2CAE">
        <w:t>Conclusion</w:t>
      </w:r>
      <w:bookmarkEnd w:id="27"/>
      <w:r w:rsidRPr="7B1D2CAE">
        <w:t xml:space="preserve"> </w:t>
      </w:r>
    </w:p>
    <w:p w:rsidRPr="00096F61" w:rsidR="7B1D2CAE" w:rsidP="00096F61" w:rsidRDefault="7B1D2CAE" w14:paraId="730D7311" w14:textId="5FC5BB62">
      <w:pPr>
        <w:rPr>
          <w:rFonts w:eastAsia="Arial"/>
        </w:rPr>
      </w:pPr>
      <w:r w:rsidRPr="7B1D2CAE">
        <w:rPr>
          <w:rFonts w:eastAsia="Arial"/>
        </w:rPr>
        <w:t xml:space="preserve">APG is actively addressing the challenges associated with IDCC(a) and IDCC(b) calculations. By improving market data synchronization, enhancing validation processes assumptions, and contributing to broader capacity calculation advancements, APG is working to minimize the need for capacity reductions while ensuring operational security and market efficiency. Furthermore, following the 6. Amendment of the </w:t>
      </w:r>
      <w:r w:rsidRPr="7B1D2CAE">
        <w:rPr>
          <w:rFonts w:eastAsia="Arial"/>
        </w:rPr>
        <w:t>Core Intraday Capacity Methodology, it will be possible to consider the latest market changes in the non-Core SDAC/SIDC bidding zones.</w:t>
      </w:r>
    </w:p>
    <w:p w:rsidR="03D1E99D" w:rsidP="00B74194" w:rsidRDefault="799E5D96" w14:paraId="39A4912F" w14:textId="6EE902FB">
      <w:pPr>
        <w:pStyle w:val="Heading2"/>
      </w:pPr>
      <w:bookmarkStart w:name="_Toc220678229" w:id="28"/>
      <w:r>
        <w:t>German TSOs</w:t>
      </w:r>
      <w:bookmarkEnd w:id="28"/>
    </w:p>
    <w:p w:rsidRPr="00B74194" w:rsidR="03D1E99D" w:rsidP="00B74194" w:rsidRDefault="799E5D96" w14:paraId="221AAB04" w14:textId="16E50386">
      <w:pPr>
        <w:pStyle w:val="Heading2"/>
      </w:pPr>
      <w:bookmarkStart w:name="_Toc220678230" w:id="29"/>
      <w:r>
        <w:t>TENNET TSO BV</w:t>
      </w:r>
      <w:bookmarkEnd w:id="29"/>
    </w:p>
    <w:p w:rsidRPr="00272671" w:rsidR="00E313E3" w:rsidP="00272671" w:rsidRDefault="4187C335" w14:paraId="14A5302E" w14:textId="228A799E">
      <w:pPr>
        <w:pStyle w:val="Heading1"/>
      </w:pPr>
      <w:bookmarkStart w:name="_Toc220678231" w:id="30"/>
      <w:r>
        <w:t>ELES</w:t>
      </w:r>
      <w:bookmarkEnd w:id="30"/>
    </w:p>
    <w:p w:rsidRPr="00096F61" w:rsidR="4187C335" w:rsidP="00096F61" w:rsidRDefault="4187C335" w14:paraId="4A81DBA3" w14:textId="4AF1EC38">
      <w:pPr>
        <w:rPr>
          <w:b/>
          <w:bCs/>
        </w:rPr>
      </w:pPr>
      <w:r w:rsidRPr="00096F61">
        <w:rPr>
          <w:rFonts w:eastAsia="Arial"/>
          <w:b/>
          <w:bCs/>
          <w:lang w:val="en-GB"/>
        </w:rPr>
        <w:t xml:space="preserve">General measures to avoid cross-zonal capacity reductions in the future, as per </w:t>
      </w:r>
      <w:r w:rsidRPr="00096F61">
        <w:rPr>
          <w:rFonts w:eastAsia="Arial"/>
          <w:b/>
          <w:bCs/>
        </w:rPr>
        <w:t xml:space="preserve">Article 18(11)(b) </w:t>
      </w:r>
      <w:r w:rsidRPr="00096F61">
        <w:rPr>
          <w:rFonts w:eastAsia="Arial"/>
          <w:b/>
          <w:bCs/>
          <w:lang w:val="en-GB"/>
        </w:rPr>
        <w:t>of ID CCM:</w:t>
      </w:r>
    </w:p>
    <w:p w:rsidRPr="00096F61" w:rsidR="4187C335" w:rsidP="00096F61" w:rsidRDefault="4187C335" w14:paraId="2CDE1743" w14:textId="551A87E2">
      <w:pPr>
        <w:pStyle w:val="ListParagraph"/>
        <w:numPr>
          <w:ilvl w:val="0"/>
          <w:numId w:val="24"/>
        </w:numPr>
        <w:rPr>
          <w:rFonts w:eastAsia="Arial"/>
        </w:rPr>
      </w:pPr>
      <w:r w:rsidRPr="00096F61">
        <w:rPr>
          <w:rFonts w:eastAsia="Arial"/>
        </w:rPr>
        <w:t>Improvement in congestion management – we will continue to improve the quality of our inputs for CORE ID CC in order to avoid unnecessary IVA application in case of errors in inputs files.</w:t>
      </w:r>
    </w:p>
    <w:p w:rsidRPr="00096F61" w:rsidR="4187C335" w:rsidP="00096F61" w:rsidRDefault="4187C335" w14:paraId="5D58E25A" w14:textId="259A9D05">
      <w:pPr>
        <w:rPr>
          <w:rFonts w:eastAsia="Arial"/>
          <w:b/>
          <w:bCs/>
        </w:rPr>
      </w:pPr>
      <w:r w:rsidRPr="00096F61">
        <w:rPr>
          <w:rFonts w:eastAsia="Arial"/>
          <w:b/>
          <w:bCs/>
          <w:lang w:val="en-GB"/>
        </w:rPr>
        <w:t xml:space="preserve">Network development and optimisation. </w:t>
      </w:r>
    </w:p>
    <w:p w:rsidR="00096F61" w:rsidP="00096F61" w:rsidRDefault="4187C335" w14:paraId="1410DCA5" w14:textId="484CE0D2">
      <w:pPr>
        <w:rPr>
          <w:rFonts w:eastAsia="Arial"/>
          <w:lang w:val="en-GB"/>
        </w:rPr>
      </w:pPr>
      <w:r w:rsidRPr="00096F61">
        <w:rPr>
          <w:rFonts w:eastAsia="Arial"/>
          <w:b/>
          <w:bCs/>
          <w:lang w:val="en-GB"/>
        </w:rPr>
        <w:t xml:space="preserve">Detailed report and action plan describing how such deviations are expected to be alleviated and solved in the future </w:t>
      </w:r>
      <w:r w:rsidRPr="00096F61">
        <w:rPr>
          <w:rFonts w:eastAsia="Arial"/>
          <w:b/>
          <w:bCs/>
        </w:rPr>
        <w:t>as per Article 18(10)(h)(</w:t>
      </w:r>
      <w:proofErr w:type="spellStart"/>
      <w:r w:rsidRPr="00096F61">
        <w:rPr>
          <w:rFonts w:eastAsia="Arial"/>
          <w:b/>
          <w:bCs/>
        </w:rPr>
        <w:t>i</w:t>
      </w:r>
      <w:proofErr w:type="spellEnd"/>
      <w:r w:rsidRPr="00096F61">
        <w:rPr>
          <w:rFonts w:eastAsia="Arial"/>
          <w:b/>
          <w:bCs/>
        </w:rPr>
        <w:t>) of ID CCM</w:t>
      </w:r>
    </w:p>
    <w:p w:rsidR="4187C335" w:rsidP="00083831" w:rsidRDefault="4187C335" w14:paraId="4F61F3F4" w14:textId="08E98F1A">
      <w:r w:rsidRPr="4187C335">
        <w:rPr>
          <w:rFonts w:eastAsia="Arial"/>
          <w:lang w:val="en-GB"/>
        </w:rPr>
        <w:t xml:space="preserve">In Q4 of 2025, ELES applied reduction in 10,82 % of MTU. 93% of these reductions were applied on CNECs on AT-SI and HU-SI borders (Kainachtall – Maribor 1&amp;2, Maribor-Cirkovce 1&amp;2 and Cirkovce-Heviz). The remaining 7% of applied reductions were applied on CNECs on the HR-SI border (Divaca-Pehlin and Krsko-Tumbri 1&amp;2). The main reason for the above reductions at ELES lies in the fact, that we are in the cross-road of two CCR, which both aim to maximise capacities in order to fulfil 70% criteria in DA. Often, maximisation of the capacities in Italy North CCR have negative effect on the RAM of Slovenian elements in CORE CCR. This is mostly due to the fact, that we have a PST on the Slovenian – Italian border, that is used to maximise Italy North NTC values. Maximising capacities in DA often translates to low capacities available for Intraday. </w:t>
      </w:r>
    </w:p>
    <w:p w:rsidR="4187C335" w:rsidP="00083831" w:rsidRDefault="4187C335" w14:paraId="4E23299A" w14:textId="3214C313">
      <w:r w:rsidRPr="4187C335">
        <w:rPr>
          <w:rFonts w:eastAsia="Arial" w:cs="Arial"/>
          <w:lang w:val="en-GB"/>
        </w:rPr>
        <w:t>Our plan to improve the situation consists of the following:</w:t>
      </w:r>
    </w:p>
    <w:p w:rsidRPr="00083831" w:rsidR="4187C335" w:rsidP="00083831" w:rsidRDefault="4187C335" w14:paraId="21459302" w14:textId="3F4489A8">
      <w:pPr>
        <w:pStyle w:val="ListParagraph"/>
        <w:numPr>
          <w:ilvl w:val="0"/>
          <w:numId w:val="24"/>
        </w:numPr>
        <w:rPr>
          <w:rFonts w:eastAsia="Arial"/>
        </w:rPr>
      </w:pPr>
      <w:r w:rsidRPr="00083831">
        <w:rPr>
          <w:rFonts w:eastAsia="Arial"/>
        </w:rPr>
        <w:t>Additional training of operators and improvement of the local validation tool in order to improve the process and improve stability and reliability of the tool</w:t>
      </w:r>
    </w:p>
    <w:p w:rsidRPr="00083831" w:rsidR="4187C335" w:rsidP="00083831" w:rsidRDefault="4187C335" w14:paraId="71893EFC" w14:textId="797F2E22">
      <w:pPr>
        <w:pStyle w:val="ListParagraph"/>
        <w:numPr>
          <w:ilvl w:val="0"/>
          <w:numId w:val="24"/>
        </w:numPr>
        <w:rPr>
          <w:rFonts w:eastAsia="Arial"/>
        </w:rPr>
      </w:pPr>
      <w:r w:rsidRPr="00083831">
        <w:rPr>
          <w:rFonts w:eastAsia="Arial"/>
        </w:rPr>
        <w:t>Analysis will be performed on accuracy of validation tool (e.g. comparing the flows considered during the validation and realised flows). Based on the result of the analysis, the validation tool reliability margin will be adjusted in order to decrease the level of IVA application.</w:t>
      </w:r>
    </w:p>
    <w:p w:rsidRPr="00083831" w:rsidR="4187C335" w:rsidP="00083831" w:rsidRDefault="4187C335" w14:paraId="1551AD45" w14:textId="2C0763B7">
      <w:pPr>
        <w:pStyle w:val="ListParagraph"/>
        <w:numPr>
          <w:ilvl w:val="0"/>
          <w:numId w:val="24"/>
        </w:numPr>
        <w:rPr>
          <w:rFonts w:eastAsia="Arial"/>
        </w:rPr>
      </w:pPr>
      <w:r w:rsidRPr="00083831">
        <w:rPr>
          <w:rFonts w:eastAsia="Arial"/>
          <w:lang w:val="en-IE"/>
        </w:rPr>
        <w:t xml:space="preserve">Network development and optimisation - </w:t>
      </w:r>
      <w:r w:rsidRPr="00083831">
        <w:rPr>
          <w:rFonts w:eastAsia="Arial"/>
        </w:rPr>
        <w:t>For AT-SI border, we are in the process to obtain and install a static serous synchronous compensator (SSSC) in Podlog substation (currently planned for Q4 2026 or early 2027) in order to be able to redistribute and relieve the flows on the elements Kainachtal – Maribor and Obersielach- Podlog. For the Divaca – Pehlin line, we are still investigation different possibilities to increase capacities (SSSC or high temperature lines).</w:t>
      </w:r>
    </w:p>
    <w:p w:rsidRPr="00083831" w:rsidR="4187C335" w:rsidP="00083831" w:rsidRDefault="4187C335" w14:paraId="329B4FD5" w14:textId="49DA7A6B">
      <w:pPr>
        <w:pStyle w:val="ListParagraph"/>
        <w:numPr>
          <w:ilvl w:val="0"/>
          <w:numId w:val="24"/>
        </w:numPr>
        <w:rPr>
          <w:rFonts w:eastAsia="Arial"/>
        </w:rPr>
      </w:pPr>
      <w:r w:rsidRPr="00083831">
        <w:rPr>
          <w:rFonts w:eastAsia="Arial"/>
        </w:rPr>
        <w:t>In Q1-Q2 2026 ELES plans to implement DTR on all SI-HR tie-lines, that will presumably increase its Fmax in most of MTUs (expected positive impact on Divača-Pehlin tie-line)</w:t>
      </w:r>
    </w:p>
    <w:p w:rsidRPr="00083831" w:rsidR="4187C335" w:rsidP="4187C335" w:rsidRDefault="4187C335" w14:paraId="7F974804" w14:textId="3385764A">
      <w:pPr>
        <w:pStyle w:val="ListParagraph"/>
        <w:numPr>
          <w:ilvl w:val="0"/>
          <w:numId w:val="24"/>
        </w:numPr>
        <w:rPr>
          <w:rFonts w:eastAsia="Arial"/>
        </w:rPr>
      </w:pPr>
      <w:r w:rsidRPr="00083831">
        <w:rPr>
          <w:rFonts w:eastAsia="Arial"/>
        </w:rPr>
        <w:t>Improve the outage planning coordination.</w:t>
      </w:r>
    </w:p>
    <w:p w:rsidRPr="006E1318" w:rsidR="00E313E3" w:rsidP="006E1318" w:rsidRDefault="799E5D96" w14:paraId="5E6018AB" w14:textId="337EC4FC">
      <w:pPr>
        <w:pStyle w:val="Heading1"/>
      </w:pPr>
      <w:bookmarkStart w:name="_Toc220678232" w:id="31"/>
      <w:r>
        <w:t>ELIA</w:t>
      </w:r>
      <w:bookmarkEnd w:id="31"/>
    </w:p>
    <w:p w:rsidRPr="006E1318" w:rsidR="03D1E99D" w:rsidP="006E1318" w:rsidRDefault="06897A3E" w14:paraId="0147B8BA" w14:textId="24134136">
      <w:pPr>
        <w:pStyle w:val="Heading1"/>
      </w:pPr>
      <w:bookmarkStart w:name="_Toc220678233" w:id="32"/>
      <w:r>
        <w:t>HOPS</w:t>
      </w:r>
      <w:bookmarkEnd w:id="32"/>
    </w:p>
    <w:p w:rsidR="06897A3E" w:rsidP="00083831" w:rsidRDefault="06897A3E" w14:paraId="3D8819E6" w14:textId="06204AA0">
      <w:r w:rsidRPr="06897A3E">
        <w:rPr>
          <w:rFonts w:eastAsia="Times New Roman"/>
          <w:lang w:val="en-US"/>
        </w:rPr>
        <w:t>General measures to avoid cross-zonal capacity reductions in the future, as per Articles 18(10)(h)(i) and 20(11)(b) of the ID CCM</w:t>
      </w:r>
      <w:r w:rsidRPr="06897A3E">
        <w:rPr>
          <w:rFonts w:eastAsia="Times New Roman"/>
        </w:rPr>
        <w:t xml:space="preserve"> </w:t>
      </w:r>
    </w:p>
    <w:p w:rsidR="06897A3E" w:rsidP="00083831" w:rsidRDefault="06897A3E" w14:paraId="32178128" w14:textId="40FF2403">
      <w:r w:rsidRPr="06897A3E">
        <w:rPr>
          <w:rFonts w:eastAsia="Times New Roman"/>
          <w:lang w:val="en-US"/>
        </w:rPr>
        <w:t>General measures include, but are not limited to:</w:t>
      </w:r>
      <w:r w:rsidRPr="06897A3E">
        <w:rPr>
          <w:rFonts w:eastAsia="Times New Roman"/>
        </w:rPr>
        <w:t xml:space="preserve"> </w:t>
      </w:r>
    </w:p>
    <w:p w:rsidR="06897A3E" w:rsidP="008B18E4" w:rsidRDefault="06897A3E" w14:paraId="36DFB1B6" w14:textId="567F758C">
      <w:r w:rsidRPr="00083831">
        <w:rPr>
          <w:rFonts w:eastAsia="Times New Roman"/>
        </w:rPr>
        <w:t xml:space="preserve">Network development and optimization </w:t>
      </w:r>
    </w:p>
    <w:p w:rsidR="06897A3E" w:rsidP="00083831" w:rsidRDefault="06897A3E" w14:paraId="494BCCD0" w14:textId="6BF873C6">
      <w:r w:rsidRPr="06897A3E">
        <w:rPr>
          <w:rFonts w:eastAsia="Times New Roman"/>
          <w:lang w:val="en-US"/>
        </w:rPr>
        <w:t>The goal is to increase the transmission capacity and reduce grid congestion. The measures to achieve these goals include strengthening and optimizing the existing network and the development of new infrastructure.</w:t>
      </w:r>
      <w:r w:rsidRPr="06897A3E">
        <w:rPr>
          <w:rFonts w:eastAsia="Times New Roman"/>
        </w:rPr>
        <w:t xml:space="preserve"> </w:t>
      </w:r>
    </w:p>
    <w:p w:rsidR="06897A3E" w:rsidP="008B18E4" w:rsidRDefault="06897A3E" w14:paraId="39BA8D10" w14:textId="6120F557">
      <w:r w:rsidRPr="00083831">
        <w:rPr>
          <w:rFonts w:eastAsia="Times New Roman"/>
        </w:rPr>
        <w:t xml:space="preserve">Improvements concerning congestion management </w:t>
      </w:r>
    </w:p>
    <w:p w:rsidR="06897A3E" w:rsidP="00083831" w:rsidRDefault="06897A3E" w14:paraId="4B15AE40" w14:textId="1AD55C4F">
      <w:r w:rsidRPr="06897A3E">
        <w:rPr>
          <w:rFonts w:eastAsia="Times New Roman"/>
          <w:lang w:val="en-US"/>
        </w:rPr>
        <w:t>Core CCR coordinated improvements with coordinated actions to increase cross-zonal capacities (for example improvements of the outage planning coordination in order to increase flexibility of the grid). Introduction of additional effective remedial actions should help to relieve the congestion and therefore allows to reduce the number of IVA application. Also, inclusion of third countries could open further opportunities for HOPS (with planning process and implementation of remedial measures). Unscheduled allocated flows coming from commercial exchanges outside the Core CCR (Fuaf) has a strong impact on HOPS grid.</w:t>
      </w:r>
      <w:r w:rsidRPr="06897A3E">
        <w:rPr>
          <w:rFonts w:eastAsia="Times New Roman"/>
        </w:rPr>
        <w:t xml:space="preserve"> </w:t>
      </w:r>
    </w:p>
    <w:p w:rsidR="06897A3E" w:rsidP="00083831" w:rsidRDefault="06897A3E" w14:paraId="73741A72" w14:textId="49CC1170">
      <w:r w:rsidRPr="06897A3E">
        <w:rPr>
          <w:rFonts w:eastAsia="Times New Roman"/>
          <w:lang w:val="en-US"/>
        </w:rPr>
        <w:t>Detailed report and action plan describing how such deviations are expected to be alleviated and solved in the future</w:t>
      </w:r>
      <w:r w:rsidRPr="06897A3E">
        <w:rPr>
          <w:rFonts w:eastAsia="Times New Roman"/>
        </w:rPr>
        <w:t xml:space="preserve"> </w:t>
      </w:r>
    </w:p>
    <w:p w:rsidRPr="00083831" w:rsidR="06897A3E" w:rsidP="00083831" w:rsidRDefault="06897A3E" w14:paraId="20E544E2" w14:textId="1C2E797E">
      <w:r w:rsidRPr="06897A3E">
        <w:rPr>
          <w:rFonts w:eastAsia="Times New Roman"/>
          <w:lang w:val="en-US"/>
        </w:rPr>
        <w:t>In the analysed quarter (Q4 2025), HOPS applied reduction to around 7,83% MTUs. For most MTUs, the reductions are applied to:</w:t>
      </w:r>
      <w:r w:rsidRPr="06897A3E">
        <w:rPr>
          <w:rFonts w:eastAsia="Times New Roman"/>
        </w:rPr>
        <w:t xml:space="preserve"> </w:t>
      </w:r>
    </w:p>
    <w:p w:rsidRPr="00083831" w:rsidR="06897A3E" w:rsidP="00083831" w:rsidRDefault="06897A3E" w14:paraId="18F653F3" w14:textId="5A9D9249">
      <w:pPr>
        <w:pStyle w:val="ListParagraph"/>
        <w:numPr>
          <w:ilvl w:val="0"/>
          <w:numId w:val="26"/>
        </w:numPr>
        <w:rPr>
          <w:rFonts w:eastAsia="Times New Roman"/>
          <w:lang w:val="en-US"/>
        </w:rPr>
      </w:pPr>
      <w:r w:rsidRPr="00083831">
        <w:rPr>
          <w:rFonts w:eastAsia="Times New Roman"/>
          <w:lang w:val="en-US"/>
        </w:rPr>
        <w:t xml:space="preserve">TL 220kV </w:t>
      </w:r>
      <w:proofErr w:type="spellStart"/>
      <w:r w:rsidRPr="00083831">
        <w:rPr>
          <w:rFonts w:eastAsia="Times New Roman"/>
          <w:lang w:val="en-US"/>
        </w:rPr>
        <w:t>Zakucac</w:t>
      </w:r>
      <w:proofErr w:type="spellEnd"/>
      <w:r w:rsidRPr="00083831">
        <w:rPr>
          <w:rFonts w:eastAsia="Times New Roman"/>
          <w:lang w:val="en-US"/>
        </w:rPr>
        <w:t xml:space="preserve"> - Mostar (0,41 % MTUs, or around 4,89 % of times of all HOPS applied reductions)</w:t>
      </w:r>
    </w:p>
    <w:p w:rsidRPr="00083831" w:rsidR="06897A3E" w:rsidP="00083831" w:rsidRDefault="06897A3E" w14:paraId="65412BB1" w14:textId="626228EC">
      <w:pPr>
        <w:pStyle w:val="ListParagraph"/>
        <w:numPr>
          <w:ilvl w:val="0"/>
          <w:numId w:val="26"/>
        </w:numPr>
        <w:rPr>
          <w:rFonts w:eastAsia="Times New Roman"/>
          <w:lang w:val="en-US"/>
        </w:rPr>
      </w:pPr>
      <w:r w:rsidRPr="00083831">
        <w:rPr>
          <w:rFonts w:eastAsia="Times New Roman"/>
          <w:lang w:val="en-US"/>
        </w:rPr>
        <w:t xml:space="preserve">TL 400 kV </w:t>
      </w:r>
      <w:proofErr w:type="spellStart"/>
      <w:r w:rsidRPr="00083831">
        <w:rPr>
          <w:rFonts w:eastAsia="Times New Roman"/>
          <w:lang w:val="en-US"/>
        </w:rPr>
        <w:t>Ernestinovo</w:t>
      </w:r>
      <w:proofErr w:type="spellEnd"/>
      <w:r w:rsidRPr="00083831">
        <w:rPr>
          <w:rFonts w:eastAsia="Times New Roman"/>
          <w:lang w:val="en-US"/>
        </w:rPr>
        <w:t xml:space="preserve"> – Pecs 1 (0,63% MTUs, or around 7,61% of times of all HOPS applied reductions)</w:t>
      </w:r>
    </w:p>
    <w:p w:rsidRPr="00083831" w:rsidR="06897A3E" w:rsidP="00083831" w:rsidRDefault="06897A3E" w14:paraId="564BBCE7" w14:textId="334A71FD">
      <w:pPr>
        <w:pStyle w:val="ListParagraph"/>
        <w:numPr>
          <w:ilvl w:val="0"/>
          <w:numId w:val="26"/>
        </w:numPr>
        <w:rPr>
          <w:rFonts w:eastAsia="Times New Roman"/>
          <w:lang w:val="en-US"/>
        </w:rPr>
      </w:pPr>
      <w:r w:rsidRPr="00083831">
        <w:rPr>
          <w:rFonts w:eastAsia="Times New Roman"/>
          <w:lang w:val="en-US"/>
        </w:rPr>
        <w:t xml:space="preserve">TL 400 kV </w:t>
      </w:r>
      <w:proofErr w:type="spellStart"/>
      <w:r w:rsidRPr="00083831">
        <w:rPr>
          <w:rFonts w:eastAsia="Times New Roman"/>
          <w:lang w:val="en-US"/>
        </w:rPr>
        <w:t>Ernestinovo</w:t>
      </w:r>
      <w:proofErr w:type="spellEnd"/>
      <w:r w:rsidRPr="00083831">
        <w:rPr>
          <w:rFonts w:eastAsia="Times New Roman"/>
          <w:lang w:val="en-US"/>
        </w:rPr>
        <w:t xml:space="preserve"> – Pecs 2 (0,05% MTUs, or around 0,54% of times of all HOPS applied reductions)</w:t>
      </w:r>
    </w:p>
    <w:p w:rsidRPr="00083831" w:rsidR="06897A3E" w:rsidP="00083831" w:rsidRDefault="06897A3E" w14:paraId="4B28B659" w14:textId="4A03C1C3">
      <w:pPr>
        <w:pStyle w:val="ListParagraph"/>
        <w:numPr>
          <w:ilvl w:val="0"/>
          <w:numId w:val="26"/>
        </w:numPr>
        <w:rPr>
          <w:rFonts w:eastAsia="Times New Roman"/>
          <w:lang w:val="en-US"/>
        </w:rPr>
      </w:pPr>
      <w:r w:rsidRPr="00083831">
        <w:rPr>
          <w:rFonts w:eastAsia="Times New Roman"/>
          <w:lang w:val="en-US"/>
        </w:rPr>
        <w:t xml:space="preserve">TL  220kV </w:t>
      </w:r>
      <w:proofErr w:type="spellStart"/>
      <w:r w:rsidRPr="00083831">
        <w:rPr>
          <w:rFonts w:eastAsia="Times New Roman"/>
          <w:lang w:val="en-US"/>
        </w:rPr>
        <w:t>Pehlin</w:t>
      </w:r>
      <w:proofErr w:type="spellEnd"/>
      <w:r w:rsidRPr="00083831">
        <w:rPr>
          <w:rFonts w:eastAsia="Times New Roman"/>
          <w:lang w:val="en-US"/>
        </w:rPr>
        <w:t xml:space="preserve"> - Divaca (7,02% MTUs, or around 84,24% of times of all HOPS applied reductions)</w:t>
      </w:r>
    </w:p>
    <w:p w:rsidRPr="00083831" w:rsidR="06897A3E" w:rsidP="00083831" w:rsidRDefault="06897A3E" w14:paraId="56B63E24" w14:textId="0D2D414A">
      <w:pPr>
        <w:pStyle w:val="ListParagraph"/>
        <w:numPr>
          <w:ilvl w:val="0"/>
          <w:numId w:val="26"/>
        </w:numPr>
        <w:rPr>
          <w:rFonts w:eastAsia="Times New Roman"/>
          <w:lang w:val="en-US"/>
        </w:rPr>
      </w:pPr>
      <w:r w:rsidRPr="00083831">
        <w:rPr>
          <w:rFonts w:eastAsia="Times New Roman"/>
          <w:lang w:val="en-US"/>
        </w:rPr>
        <w:t xml:space="preserve">TL   220kV </w:t>
      </w:r>
      <w:proofErr w:type="spellStart"/>
      <w:r w:rsidRPr="00083831">
        <w:rPr>
          <w:rFonts w:eastAsia="Times New Roman"/>
          <w:lang w:val="en-US"/>
        </w:rPr>
        <w:t>Zerjavinec</w:t>
      </w:r>
      <w:proofErr w:type="spellEnd"/>
      <w:r w:rsidRPr="00083831">
        <w:rPr>
          <w:rFonts w:eastAsia="Times New Roman"/>
          <w:lang w:val="en-US"/>
        </w:rPr>
        <w:t xml:space="preserve"> - Podlog (0,23% MTUs, or around 2,72% of times of all HOPS applied reductions)</w:t>
      </w:r>
    </w:p>
    <w:p w:rsidRPr="00083831" w:rsidR="06897A3E" w:rsidP="06897A3E" w:rsidRDefault="06897A3E" w14:paraId="1DD80FE4" w14:textId="0A1293A4">
      <w:pPr>
        <w:rPr>
          <w:rFonts w:eastAsia="Times New Roman"/>
          <w:lang w:val="en-US"/>
        </w:rPr>
      </w:pPr>
      <w:r w:rsidRPr="00083831">
        <w:rPr>
          <w:rFonts w:eastAsia="Times New Roman"/>
          <w:lang w:val="en-US"/>
        </w:rPr>
        <w:t xml:space="preserve">Applied reductions on network element are mostly low (less than 3,04% of Fmax), while for a few MTUs during October (BD20251005) higher values are applied on TL 400kV Ernestinovo - Pecs 1 due to unsolvable overloads in the relevant grid area caused by unavailability of grid elements in the surrounding area, additionally under the influence of high exchanges between Core and non-Core countries (impact of uncoordinated flows coming from third countries, mainly from the direction of RS and BA). It is important to emphasize that energy needs increased during Q4 2025 in SEE with significant flows in the network towards SEE, which is why some reductions were applied during Q4 2025 to maintain a secured network. Such reductions are planned to be solved by developing and optimising the transmission network. </w:t>
      </w:r>
    </w:p>
    <w:p w:rsidR="2BDAF249" w:rsidP="00083831" w:rsidRDefault="0FEDB823" w14:paraId="72E69BEF" w14:textId="51E510E6">
      <w:pPr>
        <w:rPr>
          <w:rFonts w:eastAsia="Times New Roman"/>
          <w:lang w:val="en-US"/>
        </w:rPr>
      </w:pPr>
      <w:r w:rsidRPr="0FEDB823">
        <w:rPr>
          <w:rFonts w:eastAsia="Times New Roman"/>
          <w:lang w:val="en-US"/>
        </w:rPr>
        <w:t>In Q2 of 2025, HOPS installed HTLS conductors on OHL 220 kV Brinje – VE Pađene that increases its maximum admissible power flow and improves available capacities, , while the upgrade continued in Q4 2025 and Q1 2026 on OHL 220 kV Brinje – VE Pađene and OHL 220 kV Konjsko – Pađene after which the entire Brinje – VE Pađene – Konjsko section will have HTLS installed.</w:t>
      </w:r>
    </w:p>
    <w:p w:rsidR="2BDAF249" w:rsidP="00083831" w:rsidRDefault="2BDAF249" w14:paraId="5382660B" w14:textId="572E429D">
      <w:r w:rsidRPr="2BDAF249">
        <w:rPr>
          <w:rFonts w:eastAsia="Times New Roman"/>
          <w:lang w:val="en-US"/>
        </w:rPr>
        <w:t>Also, following the ongoing investigation of various options for increasing capacity for the TL 220 kV Pehlin – Divača, it is planned to start installing HTLS conductors on TL 220 kV Pehlin – Divača in Q4 2026.</w:t>
      </w:r>
    </w:p>
    <w:p w:rsidR="2BDAF249" w:rsidP="00083831" w:rsidRDefault="2BDAF249" w14:paraId="00E32D6A" w14:textId="6B80DEF8">
      <w:r w:rsidRPr="2BDAF249">
        <w:rPr>
          <w:rFonts w:eastAsia="Times New Roman"/>
          <w:lang w:val="en-US"/>
        </w:rPr>
        <w:t>Improvements are also expected with upcoming important processes such as coordinated validation capacities and Regional Operational Security Coordination.</w:t>
      </w:r>
    </w:p>
    <w:p w:rsidRPr="00B74194" w:rsidR="03D1E99D" w:rsidP="00B74194" w:rsidRDefault="799E5D96" w14:paraId="10797B3A" w14:textId="2A92EF3F">
      <w:pPr>
        <w:pStyle w:val="Heading1"/>
      </w:pPr>
      <w:bookmarkStart w:name="_Toc220678234" w:id="33"/>
      <w:r>
        <w:t>MAVIR</w:t>
      </w:r>
      <w:bookmarkEnd w:id="33"/>
    </w:p>
    <w:p w:rsidRPr="0012099C" w:rsidR="4111B396" w:rsidP="0012099C" w:rsidRDefault="799E5D96" w14:paraId="1B49F6BF" w14:textId="3B093856">
      <w:pPr>
        <w:pStyle w:val="Heading1"/>
      </w:pPr>
      <w:bookmarkStart w:name="_Toc220678235" w:id="34"/>
      <w:r>
        <w:t>PSE</w:t>
      </w:r>
      <w:bookmarkEnd w:id="34"/>
    </w:p>
    <w:p w:rsidR="37F2883E" w:rsidP="799E5D96" w:rsidRDefault="799E5D96" w14:paraId="309E43C8" w14:textId="397257D4">
      <w:pPr>
        <w:pStyle w:val="Heading1"/>
      </w:pPr>
      <w:bookmarkStart w:name="_Toc220678236" w:id="35"/>
      <w:r>
        <w:t>RTE</w:t>
      </w:r>
      <w:bookmarkEnd w:id="35"/>
    </w:p>
    <w:p w:rsidR="13A7972D" w:rsidP="0012099C" w:rsidRDefault="17C9C373" w14:paraId="0A192FD5" w14:textId="004B135F">
      <w:pPr>
        <w:pStyle w:val="Heading1"/>
      </w:pPr>
      <w:bookmarkStart w:name="_Toc220678237" w:id="36"/>
      <w:r>
        <w:t>SEPS</w:t>
      </w:r>
      <w:bookmarkEnd w:id="36"/>
    </w:p>
    <w:p w:rsidR="17C9C373" w:rsidP="008B18E4" w:rsidRDefault="17C9C373" w14:paraId="40A2578B" w14:textId="23392D20">
      <w:r w:rsidRPr="17C9C373">
        <w:rPr>
          <w:rFonts w:eastAsia="Arial"/>
        </w:rPr>
        <w:t>In the analysed quarter (Q4 2025), SEPS applied reductions in approximately 1.13% of MTUs, with a total curtailed volume of 5460 MW. For most MTUs, the reductions were applied on the following tie-lines:</w:t>
      </w:r>
    </w:p>
    <w:p w:rsidRPr="008B18E4" w:rsidR="17C9C373" w:rsidP="008B18E4" w:rsidRDefault="17C9C373" w14:paraId="1267BA52" w14:textId="25BA22CA">
      <w:pPr>
        <w:pStyle w:val="ListParagraph"/>
        <w:numPr>
          <w:ilvl w:val="0"/>
          <w:numId w:val="27"/>
        </w:numPr>
        <w:rPr>
          <w:rFonts w:eastAsia="Arial"/>
        </w:rPr>
      </w:pPr>
      <w:r w:rsidRPr="008B18E4">
        <w:rPr>
          <w:rFonts w:eastAsia="Arial"/>
        </w:rPr>
        <w:t>TL 400 kV [CZ–SK] Nosovice – Varin [DIR] [SK]</w:t>
      </w:r>
    </w:p>
    <w:p w:rsidRPr="008B18E4" w:rsidR="17C9C373" w:rsidP="008B18E4" w:rsidRDefault="17C9C373" w14:paraId="529CA046" w14:textId="0F9F6E0D">
      <w:pPr>
        <w:pStyle w:val="ListParagraph"/>
        <w:numPr>
          <w:ilvl w:val="0"/>
          <w:numId w:val="27"/>
        </w:numPr>
        <w:rPr>
          <w:rFonts w:eastAsia="Arial"/>
        </w:rPr>
      </w:pPr>
      <w:r w:rsidRPr="008B18E4">
        <w:rPr>
          <w:rFonts w:eastAsia="Arial"/>
        </w:rPr>
        <w:t>TL 400 kV [SK–SK] Velky Dur – Levice 1 [DIR]</w:t>
      </w:r>
    </w:p>
    <w:p w:rsidRPr="008B18E4" w:rsidR="17C9C373" w:rsidP="008B18E4" w:rsidRDefault="17C9C373" w14:paraId="5F905E3A" w14:textId="1A3F9BB6">
      <w:pPr>
        <w:pStyle w:val="ListParagraph"/>
        <w:numPr>
          <w:ilvl w:val="0"/>
          <w:numId w:val="27"/>
        </w:numPr>
        <w:rPr>
          <w:rFonts w:eastAsia="Arial"/>
        </w:rPr>
      </w:pPr>
      <w:r w:rsidRPr="008B18E4">
        <w:rPr>
          <w:rFonts w:eastAsia="Arial"/>
        </w:rPr>
        <w:t>TL 400 kV [SK–HU] Levice – Göd [DIR] [SK]</w:t>
      </w:r>
    </w:p>
    <w:p w:rsidRPr="008B18E4" w:rsidR="17C9C373" w:rsidP="008B18E4" w:rsidRDefault="17C9C373" w14:paraId="28E35E76" w14:textId="76D8BE8C">
      <w:pPr>
        <w:rPr>
          <w:rFonts w:eastAsia="Arial"/>
        </w:rPr>
      </w:pPr>
      <w:r w:rsidRPr="008B18E4">
        <w:rPr>
          <w:rFonts w:eastAsia="Arial"/>
        </w:rPr>
        <w:t>General measures to avoid cross-zonal capacity reductions in the future</w:t>
      </w:r>
    </w:p>
    <w:p w:rsidRPr="008B18E4" w:rsidR="17C9C373" w:rsidP="008B18E4" w:rsidRDefault="17C9C373" w14:paraId="06C03600" w14:textId="3EA4F5B1">
      <w:pPr>
        <w:rPr>
          <w:rFonts w:eastAsia="Arial"/>
        </w:rPr>
      </w:pPr>
      <w:r w:rsidRPr="008B18E4">
        <w:rPr>
          <w:rFonts w:eastAsia="Arial"/>
        </w:rPr>
        <w:t>A planned reinforcement of the Nošovice – Varín tie-line is expected to increase the maximum current (Imax) from 1740 A to 2000 A by 2029, which should reduce the IVA volume applied on this element.</w:t>
      </w:r>
    </w:p>
    <w:p w:rsidRPr="008B18E4" w:rsidR="17C9C373" w:rsidP="008B18E4" w:rsidRDefault="17C9C373" w14:paraId="50D40809" w14:textId="4E446072">
      <w:pPr>
        <w:rPr>
          <w:rFonts w:eastAsia="Arial"/>
        </w:rPr>
      </w:pPr>
      <w:r w:rsidRPr="008B18E4">
        <w:rPr>
          <w:rFonts w:eastAsia="Arial"/>
        </w:rPr>
        <w:t xml:space="preserve">For the CNE </w:t>
      </w:r>
      <w:proofErr w:type="spellStart"/>
      <w:r w:rsidRPr="008B18E4">
        <w:rPr>
          <w:rFonts w:eastAsia="Arial"/>
        </w:rPr>
        <w:t>Veľký</w:t>
      </w:r>
      <w:proofErr w:type="spellEnd"/>
      <w:r w:rsidRPr="008B18E4">
        <w:rPr>
          <w:rFonts w:eastAsia="Arial"/>
        </w:rPr>
        <w:t xml:space="preserve"> </w:t>
      </w:r>
      <w:proofErr w:type="spellStart"/>
      <w:r w:rsidRPr="008B18E4">
        <w:rPr>
          <w:rFonts w:eastAsia="Arial"/>
        </w:rPr>
        <w:t>Ďur</w:t>
      </w:r>
      <w:proofErr w:type="spellEnd"/>
      <w:r w:rsidRPr="008B18E4">
        <w:rPr>
          <w:rFonts w:eastAsia="Arial"/>
        </w:rPr>
        <w:t xml:space="preserve"> – </w:t>
      </w:r>
      <w:proofErr w:type="spellStart"/>
      <w:r w:rsidRPr="008B18E4">
        <w:rPr>
          <w:rFonts w:eastAsia="Arial"/>
        </w:rPr>
        <w:t>Levice</w:t>
      </w:r>
      <w:proofErr w:type="spellEnd"/>
      <w:r w:rsidRPr="008B18E4">
        <w:rPr>
          <w:rFonts w:eastAsia="Arial"/>
        </w:rPr>
        <w:t xml:space="preserve"> 1 and </w:t>
      </w:r>
      <w:proofErr w:type="spellStart"/>
      <w:r w:rsidRPr="008B18E4">
        <w:rPr>
          <w:rFonts w:eastAsia="Arial"/>
        </w:rPr>
        <w:t>Levice</w:t>
      </w:r>
      <w:proofErr w:type="spellEnd"/>
      <w:r w:rsidRPr="008B18E4">
        <w:rPr>
          <w:rFonts w:eastAsia="Arial"/>
        </w:rPr>
        <w:t xml:space="preserve"> – God the following solutions is planned:</w:t>
      </w:r>
      <w:r w:rsidRPr="008B18E4">
        <w:rPr>
          <w:rFonts w:eastAsia="Arial"/>
        </w:rPr>
        <w:br/>
      </w:r>
      <w:r w:rsidRPr="008B18E4">
        <w:rPr>
          <w:rFonts w:eastAsia="Arial"/>
        </w:rPr>
        <w:t>The aim of the project is to connect the V492 Veľký Ďur – Horná Ždaňa line to the 400 kV switchyard in the Levice substation, to modify the connection of the V491 Veľký Ďur – Levice line in the 400 kV switchyard in the Levice substation, and to interconnect the V490 Veľký Ďur – Levice and V449 Levice – SK/HU state border (Göd) lines, including adjustments to secondary equipment in the related SEPS substations. The project is currently scheduled for completion by Q2 2029.</w:t>
      </w:r>
    </w:p>
    <w:p w:rsidRPr="008B18E4" w:rsidR="17C9C373" w:rsidP="008B18E4" w:rsidRDefault="17C9C373" w14:paraId="24A175A6" w14:textId="7CEFC880">
      <w:pPr>
        <w:rPr>
          <w:rFonts w:eastAsia="Arial"/>
        </w:rPr>
      </w:pPr>
      <w:r w:rsidRPr="008B18E4">
        <w:rPr>
          <w:rFonts w:eastAsia="Arial"/>
        </w:rPr>
        <w:t>The national ten-year development plan also includes additional planned reinforcements.</w:t>
      </w:r>
    </w:p>
    <w:p w:rsidRPr="00B74194" w:rsidR="03D1E99D" w:rsidP="00B74194" w:rsidRDefault="1AF06FEF" w14:paraId="23C7C36D" w14:textId="5D2A322B">
      <w:pPr>
        <w:pStyle w:val="Heading1"/>
      </w:pPr>
      <w:bookmarkStart w:name="_Toc220678238" w:id="37"/>
      <w:r>
        <w:t>Transelectrica</w:t>
      </w:r>
      <w:bookmarkEnd w:id="37"/>
    </w:p>
    <w:p w:rsidR="613C8602" w:rsidP="008B18E4" w:rsidRDefault="1AF06FEF" w14:paraId="77BA385F" w14:textId="61F1E25D">
      <w:r w:rsidRPr="1AF06FEF">
        <w:rPr>
          <w:rFonts w:eastAsia="Arial"/>
        </w:rPr>
        <w:t xml:space="preserve">In addition to being part of the Core CCR, Transelectrica is also part of SEE CCR with RO – BG border having operational processes for the First Intraday capacity calculation since October 2021 and Second Intraday capacity calculation since October 2022. Moreover, there are three non-EU borders for which there is no coordinated capacity calculation. </w:t>
      </w:r>
    </w:p>
    <w:p w:rsidR="613C8602" w:rsidP="008B18E4" w:rsidRDefault="1AF06FEF" w14:paraId="4B9410F5" w14:textId="780B0794">
      <w:r w:rsidRPr="1AF06FEF">
        <w:rPr>
          <w:rFonts w:eastAsia="Arial"/>
        </w:rPr>
        <w:t>Regarding the capacity calculation process, the Core ID CCM allows TSOs to correct cross-zonal capacity for reasons of operational security during the validation process individually and in a coordinated way according to Article 18 (2): “Each Core TSO shall validate and have the right to decrease the RAM for reasons of operational security during individual validation. [...] IVA may reduce the RAM only to the minimum degree that is needed to ensure operational security, and only after all the expected available costly and non-costly remedial actions pursuant to Article 22 of the SO Regulation are considered”.</w:t>
      </w:r>
    </w:p>
    <w:p w:rsidR="613C8602" w:rsidP="008B18E4" w:rsidRDefault="1AF06FEF" w14:paraId="0FEB79B4" w14:textId="022A7571">
      <w:r w:rsidRPr="1AF06FEF">
        <w:rPr>
          <w:rFonts w:eastAsia="Arial"/>
        </w:rPr>
        <w:t xml:space="preserve">For the period 20251001 – </w:t>
      </w:r>
      <w:r w:rsidRPr="1AF06FEF">
        <w:rPr>
          <w:rFonts w:eastAsia="Arial"/>
          <w:lang w:val="en-GB"/>
        </w:rPr>
        <w:t>20251231</w:t>
      </w:r>
      <w:r w:rsidRPr="1AF06FEF">
        <w:rPr>
          <w:rFonts w:eastAsia="Arial"/>
        </w:rPr>
        <w:t>, Transelectrica applied an Individual Validation Adjustment (IVA) on the following CNEs, for a total of 18.61% of MTUs. In the graph below the average IVA per CNE is represented for the timestamps where reductions were applied.</w:t>
      </w:r>
    </w:p>
    <w:p w:rsidR="613C8602" w:rsidP="1AF06FEF" w:rsidRDefault="613C8602" w14:paraId="5835361A" w14:textId="31A6D159">
      <w:pPr>
        <w:rPr>
          <w:rFonts w:eastAsia="Arial" w:cs="Arial"/>
        </w:rPr>
      </w:pPr>
    </w:p>
    <w:p w:rsidR="613C8602" w:rsidP="1AF06FEF" w:rsidRDefault="613C8602" w14:paraId="0BBB260F" w14:textId="1356F394">
      <w:pPr>
        <w:rPr>
          <w:rFonts w:eastAsia="Arial" w:cs="Arial"/>
        </w:rPr>
      </w:pPr>
      <w:r>
        <w:rPr>
          <w:noProof/>
        </w:rPr>
        <w:drawing>
          <wp:inline distT="0" distB="0" distL="0" distR="0" wp14:anchorId="565B5915" wp14:editId="0A5A0CAF">
            <wp:extent cx="5905500" cy="3362325"/>
            <wp:effectExtent l="0" t="0" r="0" b="0"/>
            <wp:docPr id="11981222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122269" name=""/>
                    <pic:cNvPicPr/>
                  </pic:nvPicPr>
                  <pic:blipFill>
                    <a:blip r:embed="rId11">
                      <a:extLst>
                        <a:ext uri="{28A0092B-C50C-407E-A947-70E740481C1C}">
                          <a14:useLocalDpi xmlns:a14="http://schemas.microsoft.com/office/drawing/2010/main" val="0"/>
                        </a:ext>
                      </a:extLst>
                    </a:blip>
                    <a:stretch>
                      <a:fillRect/>
                    </a:stretch>
                  </pic:blipFill>
                  <pic:spPr>
                    <a:xfrm>
                      <a:off x="0" y="0"/>
                      <a:ext cx="5905500" cy="3362325"/>
                    </a:xfrm>
                    <a:prstGeom prst="rect">
                      <a:avLst/>
                    </a:prstGeom>
                  </pic:spPr>
                </pic:pic>
              </a:graphicData>
            </a:graphic>
          </wp:inline>
        </w:drawing>
      </w:r>
    </w:p>
    <w:p w:rsidR="613C8602" w:rsidP="008B18E4" w:rsidRDefault="1AF06FEF" w14:paraId="27119C36" w14:textId="6A118012">
      <w:r w:rsidRPr="1AF06FEF">
        <w:rPr>
          <w:rFonts w:eastAsia="Arial"/>
        </w:rPr>
        <w:t>OHL 400 kV Portile de Fier – Djerdap is a tieline between Romania and Serbia, both countries having tielines with Bulgaria and Hungary. Because of this, the power flows on OHL 400 kV Portile de Fier – Djerdap are highly impacted by the cross-border exchanges between RO-BG, RO-RS, RO-HU.</w:t>
      </w:r>
    </w:p>
    <w:p w:rsidR="613C8602" w:rsidP="008B18E4" w:rsidRDefault="1AF06FEF" w14:paraId="3A5D3394" w14:textId="772798F6">
      <w:r w:rsidRPr="1AF06FEF">
        <w:rPr>
          <w:rFonts w:eastAsia="Arial"/>
        </w:rPr>
        <w:t>General measures to avoid cross-zonal capacity reductions in the future, as per Articles 18(10)(h)(i) and 20(11)(b) of the ID CCM.</w:t>
      </w:r>
    </w:p>
    <w:p w:rsidRPr="008B18E4" w:rsidR="613C8602" w:rsidP="008B18E4" w:rsidRDefault="1AF06FEF" w14:paraId="78AE679D" w14:textId="6ABC963A">
      <w:pPr>
        <w:rPr>
          <w:rFonts w:eastAsia="Arial"/>
          <w:b/>
          <w:bCs/>
        </w:rPr>
      </w:pPr>
      <w:r w:rsidRPr="008B18E4">
        <w:rPr>
          <w:rFonts w:eastAsia="Arial"/>
          <w:b/>
          <w:bCs/>
        </w:rPr>
        <w:t>Development of the transmission grid</w:t>
      </w:r>
    </w:p>
    <w:p w:rsidR="613C8602" w:rsidP="008B18E4" w:rsidRDefault="1AF06FEF" w14:paraId="4A04B35E" w14:textId="4679BCE5">
      <w:r w:rsidRPr="1AF06FEF">
        <w:rPr>
          <w:rFonts w:eastAsia="Arial"/>
        </w:rPr>
        <w:t>The main measure to reduce overloads in the capacity calculation process is to finalize investment projects with cross-border impact:</w:t>
      </w:r>
    </w:p>
    <w:p w:rsidRPr="008B18E4" w:rsidR="613C8602" w:rsidP="008B18E4" w:rsidRDefault="1AF06FEF" w14:paraId="37505A77" w14:textId="1B0FBFA1">
      <w:pPr>
        <w:pStyle w:val="ListParagraph"/>
        <w:numPr>
          <w:ilvl w:val="0"/>
          <w:numId w:val="28"/>
        </w:numPr>
        <w:rPr>
          <w:rFonts w:eastAsia="Arial"/>
        </w:rPr>
      </w:pPr>
      <w:r w:rsidRPr="008B18E4">
        <w:rPr>
          <w:rFonts w:eastAsia="Arial"/>
        </w:rPr>
        <w:t xml:space="preserve">New OHL 400 kV Portile de Fier – Resita and TIE 400 kV Resita – Pancevo circ. 2 have been commissioned in mid November 2024. TIE 400 kV Resita – Pancevo circ. 1 was commissioned in February 2025. </w:t>
      </w:r>
    </w:p>
    <w:p w:rsidRPr="008B18E4" w:rsidR="613C8602" w:rsidP="008B18E4" w:rsidRDefault="1AF06FEF" w14:paraId="0E37B5BD" w14:textId="46E8351F">
      <w:pPr>
        <w:pStyle w:val="ListParagraph"/>
        <w:numPr>
          <w:ilvl w:val="0"/>
          <w:numId w:val="28"/>
        </w:numPr>
        <w:rPr>
          <w:rFonts w:eastAsia="Arial"/>
        </w:rPr>
      </w:pPr>
      <w:r w:rsidRPr="008B18E4">
        <w:rPr>
          <w:rFonts w:eastAsia="Arial"/>
        </w:rPr>
        <w:t>New Autotransformer 400/220 kV in Rosiori substation to be commissioned in 2028;</w:t>
      </w:r>
    </w:p>
    <w:p w:rsidRPr="008B18E4" w:rsidR="613C8602" w:rsidP="008B18E4" w:rsidRDefault="1AF06FEF" w14:paraId="531BE0E9" w14:textId="5E9570AB">
      <w:pPr>
        <w:pStyle w:val="ListParagraph"/>
        <w:numPr>
          <w:ilvl w:val="0"/>
          <w:numId w:val="28"/>
        </w:numPr>
        <w:rPr>
          <w:rFonts w:eastAsia="Arial"/>
        </w:rPr>
      </w:pPr>
      <w:r w:rsidRPr="008B18E4">
        <w:rPr>
          <w:rFonts w:eastAsia="Arial"/>
        </w:rPr>
        <w:t>400 kV OHL Resita – Timisoara – Sacalaz to be commissioned in 2027;</w:t>
      </w:r>
    </w:p>
    <w:p w:rsidRPr="008B18E4" w:rsidR="613C8602" w:rsidP="008B18E4" w:rsidRDefault="1AF06FEF" w14:paraId="286C76FF" w14:textId="4E7F03B7">
      <w:pPr>
        <w:pStyle w:val="ListParagraph"/>
        <w:numPr>
          <w:ilvl w:val="0"/>
          <w:numId w:val="28"/>
        </w:numPr>
        <w:rPr>
          <w:rFonts w:eastAsia="Arial"/>
        </w:rPr>
      </w:pPr>
      <w:r w:rsidRPr="008B18E4">
        <w:rPr>
          <w:rFonts w:eastAsia="Arial"/>
        </w:rPr>
        <w:t>400 kV d.c. OHL Timisoara – Arad to be commissioned in 2028;</w:t>
      </w:r>
    </w:p>
    <w:p w:rsidRPr="008B18E4" w:rsidR="613C8602" w:rsidP="008B18E4" w:rsidRDefault="1AF06FEF" w14:paraId="643D7976" w14:textId="18C4666D">
      <w:pPr>
        <w:pStyle w:val="ListParagraph"/>
        <w:numPr>
          <w:ilvl w:val="0"/>
          <w:numId w:val="28"/>
        </w:numPr>
        <w:rPr>
          <w:rFonts w:eastAsia="Arial"/>
        </w:rPr>
      </w:pPr>
      <w:r w:rsidRPr="008B18E4">
        <w:rPr>
          <w:rFonts w:eastAsia="Arial"/>
        </w:rPr>
        <w:t>Increasing the transmission capacity on the OHLs 220 kV Urechesti – Targu Jiu Nord – Paroseni – Baru Mare – Hasdat to be commissioned in 2028;</w:t>
      </w:r>
    </w:p>
    <w:p w:rsidRPr="008B18E4" w:rsidR="613C8602" w:rsidP="008B18E4" w:rsidRDefault="1AF06FEF" w14:paraId="3FA3D83A" w14:textId="71C64B74">
      <w:pPr>
        <w:pStyle w:val="ListParagraph"/>
        <w:numPr>
          <w:ilvl w:val="0"/>
          <w:numId w:val="28"/>
        </w:numPr>
        <w:rPr>
          <w:rFonts w:eastAsia="Arial"/>
        </w:rPr>
      </w:pPr>
      <w:r w:rsidRPr="008B18E4">
        <w:rPr>
          <w:rFonts w:eastAsia="Arial"/>
        </w:rPr>
        <w:t>Increasing the transmission capacity on the OHL 220 kV d.c. Portile de Fier – Resita to be commissioned in 2028;</w:t>
      </w:r>
    </w:p>
    <w:p w:rsidRPr="008B18E4" w:rsidR="613C8602" w:rsidP="008B18E4" w:rsidRDefault="1AF06FEF" w14:paraId="7F22E0DD" w14:textId="097A59F5">
      <w:pPr>
        <w:pStyle w:val="ListParagraph"/>
        <w:numPr>
          <w:ilvl w:val="0"/>
          <w:numId w:val="28"/>
        </w:numPr>
        <w:rPr>
          <w:rFonts w:eastAsia="Arial"/>
        </w:rPr>
      </w:pPr>
      <w:r w:rsidRPr="008B18E4">
        <w:rPr>
          <w:rFonts w:eastAsia="Arial"/>
          <w:lang w:val="pl-PL"/>
        </w:rPr>
        <w:t xml:space="preserve">400 </w:t>
      </w:r>
      <w:proofErr w:type="spellStart"/>
      <w:r w:rsidRPr="008B18E4">
        <w:rPr>
          <w:rFonts w:eastAsia="Arial"/>
          <w:lang w:val="pl-PL"/>
        </w:rPr>
        <w:t>kV</w:t>
      </w:r>
      <w:proofErr w:type="spellEnd"/>
      <w:r w:rsidRPr="008B18E4">
        <w:rPr>
          <w:rFonts w:eastAsia="Arial"/>
          <w:lang w:val="pl-PL"/>
        </w:rPr>
        <w:t xml:space="preserve"> TIE </w:t>
      </w:r>
      <w:proofErr w:type="spellStart"/>
      <w:r w:rsidRPr="008B18E4">
        <w:rPr>
          <w:rFonts w:eastAsia="Arial"/>
          <w:lang w:val="pl-PL"/>
        </w:rPr>
        <w:t>Nadab</w:t>
      </w:r>
      <w:proofErr w:type="spellEnd"/>
      <w:r w:rsidRPr="008B18E4">
        <w:rPr>
          <w:rFonts w:eastAsia="Arial"/>
          <w:lang w:val="pl-PL"/>
        </w:rPr>
        <w:t xml:space="preserve"> – </w:t>
      </w:r>
      <w:proofErr w:type="spellStart"/>
      <w:r w:rsidRPr="008B18E4">
        <w:rPr>
          <w:rFonts w:eastAsia="Arial"/>
          <w:lang w:val="pl-PL"/>
        </w:rPr>
        <w:t>Graniceri</w:t>
      </w:r>
      <w:proofErr w:type="spellEnd"/>
      <w:r w:rsidRPr="008B18E4">
        <w:rPr>
          <w:rFonts w:eastAsia="Arial"/>
          <w:lang w:val="pl-PL"/>
        </w:rPr>
        <w:t xml:space="preserve"> </w:t>
      </w:r>
      <w:proofErr w:type="spellStart"/>
      <w:r w:rsidRPr="008B18E4">
        <w:rPr>
          <w:rFonts w:eastAsia="Arial"/>
          <w:lang w:val="pl-PL"/>
        </w:rPr>
        <w:t>circ</w:t>
      </w:r>
      <w:proofErr w:type="spellEnd"/>
      <w:r w:rsidRPr="008B18E4">
        <w:rPr>
          <w:rFonts w:eastAsia="Arial"/>
          <w:lang w:val="pl-PL"/>
        </w:rPr>
        <w:t xml:space="preserve">. </w:t>
      </w:r>
      <w:r w:rsidRPr="008B18E4">
        <w:rPr>
          <w:rFonts w:eastAsia="Arial"/>
        </w:rPr>
        <w:t>2 to be commissioned in 2028;</w:t>
      </w:r>
    </w:p>
    <w:p w:rsidRPr="008B18E4" w:rsidR="613C8602" w:rsidP="008B18E4" w:rsidRDefault="1AF06FEF" w14:paraId="2B8DECB4" w14:textId="58C50D6D">
      <w:pPr>
        <w:pStyle w:val="ListParagraph"/>
        <w:numPr>
          <w:ilvl w:val="0"/>
          <w:numId w:val="28"/>
        </w:numPr>
        <w:rPr>
          <w:rFonts w:eastAsia="Arial"/>
        </w:rPr>
      </w:pPr>
      <w:r w:rsidRPr="008B18E4">
        <w:rPr>
          <w:rFonts w:eastAsia="Arial"/>
        </w:rPr>
        <w:t>400 kV TIE Portile de Fier – Djerdap circ.2 to be commissioned in 2029;</w:t>
      </w:r>
    </w:p>
    <w:p w:rsidRPr="008B18E4" w:rsidR="613C8602" w:rsidP="008B18E4" w:rsidRDefault="1AF06FEF" w14:paraId="585F6289" w14:textId="4A16F115">
      <w:pPr>
        <w:pStyle w:val="ListParagraph"/>
        <w:numPr>
          <w:ilvl w:val="0"/>
          <w:numId w:val="28"/>
        </w:numPr>
        <w:rPr>
          <w:rFonts w:eastAsia="Arial"/>
        </w:rPr>
      </w:pPr>
      <w:r w:rsidRPr="008B18E4">
        <w:rPr>
          <w:rFonts w:eastAsia="Arial"/>
        </w:rPr>
        <w:t>400 kV TIE Oradea Sud – Josza to be commissioned in 2030.</w:t>
      </w:r>
    </w:p>
    <w:p w:rsidRPr="008B18E4" w:rsidR="613C8602" w:rsidP="008B18E4" w:rsidRDefault="1AF06FEF" w14:paraId="5FFD04A5" w14:textId="4236620D">
      <w:pPr>
        <w:rPr>
          <w:rFonts w:eastAsia="Arial"/>
          <w:b/>
          <w:bCs/>
        </w:rPr>
      </w:pPr>
      <w:r w:rsidRPr="008B18E4">
        <w:rPr>
          <w:rFonts w:eastAsia="Arial"/>
          <w:b/>
          <w:bCs/>
        </w:rPr>
        <w:t>Outage planning coordination</w:t>
      </w:r>
    </w:p>
    <w:p w:rsidRPr="00DF4C7E" w:rsidR="613C8602" w:rsidP="00DF4C7E" w:rsidRDefault="1AF06FEF" w14:paraId="73D04777" w14:textId="64B30F5A">
      <w:pPr>
        <w:rPr>
          <w:rFonts w:eastAsia="Arial"/>
        </w:rPr>
      </w:pPr>
      <w:r w:rsidRPr="1AF06FEF">
        <w:rPr>
          <w:rFonts w:eastAsia="Arial"/>
        </w:rPr>
        <w:t xml:space="preserve">Relevant assets are coordinated in the Outage coordination regions. This coordination has the scope of avoiding simultaneous disconnection of multiple elements with cross-border impact, taking into consideration the system security as a first step. Lately it has been observed that the finalization of the Yearly Maintenance Plan is highly impacted by the level of cross-border capacities provided to the market. </w:t>
      </w:r>
      <w:r w:rsidRPr="1AF06FEF">
        <w:rPr>
          <w:rFonts w:eastAsia="Arial"/>
        </w:rPr>
        <w:t xml:space="preserve">Thus, it became a necessity to coordinate the outage of relevant assets also from the perspective of the capacity calculation processes. </w:t>
      </w:r>
    </w:p>
    <w:p w:rsidRPr="00DF4C7E" w:rsidR="613C8602" w:rsidP="00DF4C7E" w:rsidRDefault="1AF06FEF" w14:paraId="5496890B" w14:textId="291BDE2A">
      <w:pPr>
        <w:rPr>
          <w:rFonts w:eastAsia="Arial"/>
          <w:b/>
          <w:bCs/>
        </w:rPr>
      </w:pPr>
      <w:r w:rsidRPr="00DF4C7E">
        <w:rPr>
          <w:rFonts w:eastAsia="Arial"/>
          <w:b/>
          <w:bCs/>
        </w:rPr>
        <w:t>Implementation of regional coordinated processes for security analysis and redispatching and countertrading processes</w:t>
      </w:r>
    </w:p>
    <w:p w:rsidR="613C8602" w:rsidP="00DF4C7E" w:rsidRDefault="1AF06FEF" w14:paraId="59F30B30" w14:textId="61A43BD5">
      <w:r w:rsidRPr="1AF06FEF">
        <w:rPr>
          <w:rFonts w:eastAsia="Arial"/>
          <w:lang w:val="en-GB"/>
        </w:rPr>
        <w:t xml:space="preserve">Results of the intraday capacity calculation process come with a lot of uncertainties, mainly due to the input data, volumes of capacity allocated and available redispatching. </w:t>
      </w:r>
      <w:r w:rsidRPr="1AF06FEF">
        <w:rPr>
          <w:rFonts w:eastAsia="Arial"/>
          <w:lang w:val="ro"/>
        </w:rPr>
        <w:t>Measures to decrease the need of application of IVA include the consideration of internal redispatching. Due to the proximity to real-time, multiple power plants cannot be considered. Also, depending on the location of the congested elements, there may be none, one or multiple generators that can help decreasing the overload, but not necessarily avoiding them altogether.</w:t>
      </w:r>
    </w:p>
    <w:p w:rsidR="613C8602" w:rsidP="00DF4C7E" w:rsidRDefault="1AF06FEF" w14:paraId="5046E622" w14:textId="6B54FD05">
      <w:r w:rsidRPr="1AF06FEF">
        <w:rPr>
          <w:rFonts w:eastAsia="Arial"/>
        </w:rPr>
        <w:t>It is thus mandatory to have security analysis implemented at regional level before real-time with coordinated means of reducing the observed overloads.</w:t>
      </w:r>
    </w:p>
    <w:p w:rsidR="613C8602" w:rsidP="00DF4C7E" w:rsidRDefault="1AF06FEF" w14:paraId="02D910DE" w14:textId="6BF68607">
      <w:r w:rsidRPr="1AF06FEF">
        <w:rPr>
          <w:rFonts w:eastAsia="Arial"/>
          <w:lang w:val="en-GB"/>
        </w:rPr>
        <w:t>At Core CCR level these processes are still under implementation.</w:t>
      </w:r>
    </w:p>
    <w:sectPr w:rsidR="613C8602" w:rsidSect="00544905">
      <w:headerReference w:type="even" r:id="rId12"/>
      <w:headerReference w:type="default" r:id="rId13"/>
      <w:footerReference w:type="even" r:id="rId14"/>
      <w:footerReference w:type="default" r:id="rId15"/>
      <w:headerReference w:type="first" r:id="rId16"/>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5C22" w:rsidP="00B7680D" w:rsidRDefault="00745C22" w14:paraId="4AB6898F" w14:textId="77777777">
      <w:pPr>
        <w:spacing w:line="240" w:lineRule="auto"/>
      </w:pPr>
      <w:r>
        <w:separator/>
      </w:r>
    </w:p>
    <w:p w:rsidR="00745C22" w:rsidRDefault="00745C22" w14:paraId="57C812B5" w14:textId="77777777"/>
  </w:endnote>
  <w:endnote w:type="continuationSeparator" w:id="0">
    <w:p w:rsidR="00745C22" w:rsidP="00B7680D" w:rsidRDefault="00745C22" w14:paraId="77C866D6" w14:textId="77777777">
      <w:pPr>
        <w:spacing w:line="240" w:lineRule="auto"/>
      </w:pPr>
      <w:r>
        <w:continuationSeparator/>
      </w:r>
    </w:p>
    <w:p w:rsidR="00745C22" w:rsidRDefault="00745C22" w14:paraId="5E1E0B90" w14:textId="77777777"/>
  </w:endnote>
  <w:endnote w:type="continuationNotice" w:id="1">
    <w:p w:rsidR="00745C22" w:rsidRDefault="00745C22" w14:paraId="5DD1A97E" w14:textId="77777777">
      <w:pPr>
        <w:spacing w:line="240" w:lineRule="auto"/>
      </w:pPr>
    </w:p>
    <w:p w:rsidR="00745C22" w:rsidRDefault="00745C22" w14:paraId="4F601E1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Footer"/>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FB2C7DB">
    <w:pPr>
      <w:pStyle w:val="Footer"/>
    </w:pPr>
    <w:r w:rsidRPr="00727CF7">
      <w:t xml:space="preserve">Page </w:t>
    </w:r>
    <w:r w:rsidRPr="00727CF7">
      <w:fldChar w:fldCharType="begin"/>
    </w:r>
    <w:r w:rsidRPr="00727CF7">
      <w:instrText>PAGE   \* MERGEFORMAT</w:instrText>
    </w:r>
    <w:r w:rsidRPr="00727CF7">
      <w:fldChar w:fldCharType="separate"/>
    </w:r>
    <w:r w:rsidR="00DC17B4">
      <w:rPr>
        <w:noProof/>
      </w:rPr>
      <w:t>9</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C17B4">
      <w:rPr>
        <w:noProof/>
      </w:rPr>
      <w:t>13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5C22" w:rsidP="00B7680D" w:rsidRDefault="00745C22" w14:paraId="58D05C91" w14:textId="77777777">
      <w:pPr>
        <w:spacing w:line="240" w:lineRule="auto"/>
      </w:pPr>
      <w:r>
        <w:separator/>
      </w:r>
    </w:p>
    <w:p w:rsidR="00745C22" w:rsidRDefault="00745C22" w14:paraId="4C7C0922" w14:textId="77777777"/>
  </w:footnote>
  <w:footnote w:type="continuationSeparator" w:id="0">
    <w:p w:rsidR="00745C22" w:rsidP="00B7680D" w:rsidRDefault="00745C22" w14:paraId="6FAFF9F0" w14:textId="77777777">
      <w:pPr>
        <w:spacing w:line="240" w:lineRule="auto"/>
      </w:pPr>
      <w:r>
        <w:continuationSeparator/>
      </w:r>
    </w:p>
    <w:p w:rsidR="00745C22" w:rsidRDefault="00745C22" w14:paraId="4D14657F" w14:textId="77777777"/>
  </w:footnote>
  <w:footnote w:type="continuationNotice" w:id="1">
    <w:p w:rsidR="00745C22" w:rsidRDefault="00745C22" w14:paraId="20344D52" w14:textId="77777777">
      <w:pPr>
        <w:spacing w:line="240" w:lineRule="auto"/>
      </w:pPr>
    </w:p>
    <w:p w:rsidR="00745C22" w:rsidRDefault="00745C22" w14:paraId="118710C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Header"/>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Header"/>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8B4FC2" w:rsidR="00976D05" w:rsidP="008B4FC2" w:rsidRDefault="008B4FC2" w14:paraId="75362D0B" w14:textId="01152B2A">
    <w:pPr>
      <w:pStyle w:val="Header"/>
      <w:jc w:val="both"/>
      <w:rPr>
        <w:b/>
        <w:color w:val="3366FF"/>
        <w:sz w:val="24"/>
      </w:rPr>
    </w:pPr>
    <w:r w:rsidRPr="008B4FC2">
      <w:rPr>
        <w:b/>
        <w:noProof/>
        <w:color w:val="3366FF"/>
        <w:sz w:val="24"/>
        <w:lang w:val="hr-HR" w:eastAsia="hr-HR"/>
      </w:rPr>
      <w:drawing>
        <wp:inline distT="0" distB="0" distL="0" distR="0" wp14:anchorId="73EFAE62" wp14:editId="45DF4185">
          <wp:extent cx="5904230" cy="652145"/>
          <wp:effectExtent l="0" t="0" r="1270" b="0"/>
          <wp:docPr id="106847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8951"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hAnsi="Arial" w:cs="Arial" w:eastAsiaTheme="minorHAnsi"/>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1F4B40A"/>
    <w:multiLevelType w:val="hybridMultilevel"/>
    <w:tmpl w:val="26D07D8E"/>
    <w:lvl w:ilvl="0" w:tplc="4AA4F3DE">
      <w:start w:val="1"/>
      <w:numFmt w:val="bullet"/>
      <w:lvlText w:val="Ø"/>
      <w:lvlJc w:val="left"/>
      <w:pPr>
        <w:ind w:left="720" w:hanging="360"/>
      </w:pPr>
      <w:rPr>
        <w:rFonts w:hint="default" w:ascii="Wingdings" w:hAnsi="Wingdings"/>
      </w:rPr>
    </w:lvl>
    <w:lvl w:ilvl="1" w:tplc="0CEC011A">
      <w:start w:val="1"/>
      <w:numFmt w:val="bullet"/>
      <w:lvlText w:val="o"/>
      <w:lvlJc w:val="left"/>
      <w:pPr>
        <w:ind w:left="1440" w:hanging="360"/>
      </w:pPr>
      <w:rPr>
        <w:rFonts w:hint="default" w:ascii="Courier New" w:hAnsi="Courier New"/>
      </w:rPr>
    </w:lvl>
    <w:lvl w:ilvl="2" w:tplc="B7B04A06">
      <w:start w:val="1"/>
      <w:numFmt w:val="bullet"/>
      <w:lvlText w:val=""/>
      <w:lvlJc w:val="left"/>
      <w:pPr>
        <w:ind w:left="2160" w:hanging="360"/>
      </w:pPr>
      <w:rPr>
        <w:rFonts w:hint="default" w:ascii="Wingdings" w:hAnsi="Wingdings"/>
      </w:rPr>
    </w:lvl>
    <w:lvl w:ilvl="3" w:tplc="21B6889E">
      <w:start w:val="1"/>
      <w:numFmt w:val="bullet"/>
      <w:lvlText w:val=""/>
      <w:lvlJc w:val="left"/>
      <w:pPr>
        <w:ind w:left="2880" w:hanging="360"/>
      </w:pPr>
      <w:rPr>
        <w:rFonts w:hint="default" w:ascii="Symbol" w:hAnsi="Symbol"/>
      </w:rPr>
    </w:lvl>
    <w:lvl w:ilvl="4" w:tplc="A2008B3E">
      <w:start w:val="1"/>
      <w:numFmt w:val="bullet"/>
      <w:lvlText w:val="o"/>
      <w:lvlJc w:val="left"/>
      <w:pPr>
        <w:ind w:left="3600" w:hanging="360"/>
      </w:pPr>
      <w:rPr>
        <w:rFonts w:hint="default" w:ascii="Courier New" w:hAnsi="Courier New"/>
      </w:rPr>
    </w:lvl>
    <w:lvl w:ilvl="5" w:tplc="2F62475C">
      <w:start w:val="1"/>
      <w:numFmt w:val="bullet"/>
      <w:lvlText w:val=""/>
      <w:lvlJc w:val="left"/>
      <w:pPr>
        <w:ind w:left="4320" w:hanging="360"/>
      </w:pPr>
      <w:rPr>
        <w:rFonts w:hint="default" w:ascii="Wingdings" w:hAnsi="Wingdings"/>
      </w:rPr>
    </w:lvl>
    <w:lvl w:ilvl="6" w:tplc="F752BA2C">
      <w:start w:val="1"/>
      <w:numFmt w:val="bullet"/>
      <w:lvlText w:val=""/>
      <w:lvlJc w:val="left"/>
      <w:pPr>
        <w:ind w:left="5040" w:hanging="360"/>
      </w:pPr>
      <w:rPr>
        <w:rFonts w:hint="default" w:ascii="Symbol" w:hAnsi="Symbol"/>
      </w:rPr>
    </w:lvl>
    <w:lvl w:ilvl="7" w:tplc="CAE67C94">
      <w:start w:val="1"/>
      <w:numFmt w:val="bullet"/>
      <w:lvlText w:val="o"/>
      <w:lvlJc w:val="left"/>
      <w:pPr>
        <w:ind w:left="5760" w:hanging="360"/>
      </w:pPr>
      <w:rPr>
        <w:rFonts w:hint="default" w:ascii="Courier New" w:hAnsi="Courier New"/>
      </w:rPr>
    </w:lvl>
    <w:lvl w:ilvl="8" w:tplc="D7C89C1C">
      <w:start w:val="1"/>
      <w:numFmt w:val="bullet"/>
      <w:lvlText w:val=""/>
      <w:lvlJc w:val="left"/>
      <w:pPr>
        <w:ind w:left="6480" w:hanging="360"/>
      </w:pPr>
      <w:rPr>
        <w:rFonts w:hint="default" w:ascii="Wingdings" w:hAnsi="Wingdings"/>
      </w:rPr>
    </w:lvl>
  </w:abstractNum>
  <w:abstractNum w:abstractNumId="3"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 w15:restartNumberingAfterBreak="0">
    <w:nsid w:val="0E4144B1"/>
    <w:multiLevelType w:val="hybridMultilevel"/>
    <w:tmpl w:val="6C16203A"/>
    <w:lvl w:ilvl="0" w:tplc="B42EF1BC">
      <w:start w:val="1"/>
      <w:numFmt w:val="bullet"/>
      <w:lvlText w:val="Ø"/>
      <w:lvlJc w:val="left"/>
      <w:pPr>
        <w:ind w:left="720" w:hanging="360"/>
      </w:pPr>
      <w:rPr>
        <w:rFonts w:hint="default" w:ascii="Wingdings" w:hAnsi="Wingdings"/>
      </w:rPr>
    </w:lvl>
    <w:lvl w:ilvl="1" w:tplc="7AE895E8">
      <w:start w:val="1"/>
      <w:numFmt w:val="bullet"/>
      <w:lvlText w:val="o"/>
      <w:lvlJc w:val="left"/>
      <w:pPr>
        <w:ind w:left="1440" w:hanging="360"/>
      </w:pPr>
      <w:rPr>
        <w:rFonts w:hint="default" w:ascii="Courier New" w:hAnsi="Courier New"/>
      </w:rPr>
    </w:lvl>
    <w:lvl w:ilvl="2" w:tplc="5D6A443A">
      <w:start w:val="1"/>
      <w:numFmt w:val="bullet"/>
      <w:lvlText w:val=""/>
      <w:lvlJc w:val="left"/>
      <w:pPr>
        <w:ind w:left="2160" w:hanging="360"/>
      </w:pPr>
      <w:rPr>
        <w:rFonts w:hint="default" w:ascii="Wingdings" w:hAnsi="Wingdings"/>
      </w:rPr>
    </w:lvl>
    <w:lvl w:ilvl="3" w:tplc="BA640B22">
      <w:start w:val="1"/>
      <w:numFmt w:val="bullet"/>
      <w:lvlText w:val=""/>
      <w:lvlJc w:val="left"/>
      <w:pPr>
        <w:ind w:left="2880" w:hanging="360"/>
      </w:pPr>
      <w:rPr>
        <w:rFonts w:hint="default" w:ascii="Symbol" w:hAnsi="Symbol"/>
      </w:rPr>
    </w:lvl>
    <w:lvl w:ilvl="4" w:tplc="8C5C23A4">
      <w:start w:val="1"/>
      <w:numFmt w:val="bullet"/>
      <w:lvlText w:val="o"/>
      <w:lvlJc w:val="left"/>
      <w:pPr>
        <w:ind w:left="3600" w:hanging="360"/>
      </w:pPr>
      <w:rPr>
        <w:rFonts w:hint="default" w:ascii="Courier New" w:hAnsi="Courier New"/>
      </w:rPr>
    </w:lvl>
    <w:lvl w:ilvl="5" w:tplc="C5D04A7E">
      <w:start w:val="1"/>
      <w:numFmt w:val="bullet"/>
      <w:lvlText w:val=""/>
      <w:lvlJc w:val="left"/>
      <w:pPr>
        <w:ind w:left="4320" w:hanging="360"/>
      </w:pPr>
      <w:rPr>
        <w:rFonts w:hint="default" w:ascii="Wingdings" w:hAnsi="Wingdings"/>
      </w:rPr>
    </w:lvl>
    <w:lvl w:ilvl="6" w:tplc="2E024FE6">
      <w:start w:val="1"/>
      <w:numFmt w:val="bullet"/>
      <w:lvlText w:val=""/>
      <w:lvlJc w:val="left"/>
      <w:pPr>
        <w:ind w:left="5040" w:hanging="360"/>
      </w:pPr>
      <w:rPr>
        <w:rFonts w:hint="default" w:ascii="Symbol" w:hAnsi="Symbol"/>
      </w:rPr>
    </w:lvl>
    <w:lvl w:ilvl="7" w:tplc="92AE964E">
      <w:start w:val="1"/>
      <w:numFmt w:val="bullet"/>
      <w:lvlText w:val="o"/>
      <w:lvlJc w:val="left"/>
      <w:pPr>
        <w:ind w:left="5760" w:hanging="360"/>
      </w:pPr>
      <w:rPr>
        <w:rFonts w:hint="default" w:ascii="Courier New" w:hAnsi="Courier New"/>
      </w:rPr>
    </w:lvl>
    <w:lvl w:ilvl="8" w:tplc="D25834D4">
      <w:start w:val="1"/>
      <w:numFmt w:val="bullet"/>
      <w:lvlText w:val=""/>
      <w:lvlJc w:val="left"/>
      <w:pPr>
        <w:ind w:left="6480" w:hanging="360"/>
      </w:pPr>
      <w:rPr>
        <w:rFonts w:hint="default" w:ascii="Wingdings" w:hAnsi="Wingdings"/>
      </w:rPr>
    </w:lvl>
  </w:abstractNum>
  <w:abstractNum w:abstractNumId="5" w15:restartNumberingAfterBreak="0">
    <w:nsid w:val="15E825EB"/>
    <w:multiLevelType w:val="hybridMultilevel"/>
    <w:tmpl w:val="CE1ED65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6" w15:restartNumberingAfterBreak="0">
    <w:nsid w:val="224F04F9"/>
    <w:multiLevelType w:val="hybridMultilevel"/>
    <w:tmpl w:val="DC7AEAEA"/>
    <w:lvl w:ilvl="0" w:tplc="B20E7A38">
      <w:start w:val="1"/>
      <w:numFmt w:val="bullet"/>
      <w:lvlText w:val=""/>
      <w:lvlJc w:val="left"/>
      <w:pPr>
        <w:ind w:left="720" w:hanging="360"/>
      </w:pPr>
      <w:rPr>
        <w:rFonts w:hint="default" w:ascii="Symbol" w:hAnsi="Symbol"/>
      </w:rPr>
    </w:lvl>
    <w:lvl w:ilvl="1" w:tplc="5906C818">
      <w:start w:val="1"/>
      <w:numFmt w:val="bullet"/>
      <w:lvlText w:val="o"/>
      <w:lvlJc w:val="left"/>
      <w:pPr>
        <w:ind w:left="1440" w:hanging="360"/>
      </w:pPr>
      <w:rPr>
        <w:rFonts w:hint="default" w:ascii="Courier New" w:hAnsi="Courier New"/>
      </w:rPr>
    </w:lvl>
    <w:lvl w:ilvl="2" w:tplc="BC046BD2">
      <w:start w:val="1"/>
      <w:numFmt w:val="bullet"/>
      <w:lvlText w:val=""/>
      <w:lvlJc w:val="left"/>
      <w:pPr>
        <w:ind w:left="2160" w:hanging="360"/>
      </w:pPr>
      <w:rPr>
        <w:rFonts w:hint="default" w:ascii="Wingdings" w:hAnsi="Wingdings"/>
      </w:rPr>
    </w:lvl>
    <w:lvl w:ilvl="3" w:tplc="B6F2D58C">
      <w:start w:val="1"/>
      <w:numFmt w:val="bullet"/>
      <w:lvlText w:val=""/>
      <w:lvlJc w:val="left"/>
      <w:pPr>
        <w:ind w:left="2880" w:hanging="360"/>
      </w:pPr>
      <w:rPr>
        <w:rFonts w:hint="default" w:ascii="Symbol" w:hAnsi="Symbol"/>
      </w:rPr>
    </w:lvl>
    <w:lvl w:ilvl="4" w:tplc="F4806532">
      <w:start w:val="1"/>
      <w:numFmt w:val="bullet"/>
      <w:lvlText w:val="o"/>
      <w:lvlJc w:val="left"/>
      <w:pPr>
        <w:ind w:left="3600" w:hanging="360"/>
      </w:pPr>
      <w:rPr>
        <w:rFonts w:hint="default" w:ascii="Courier New" w:hAnsi="Courier New"/>
      </w:rPr>
    </w:lvl>
    <w:lvl w:ilvl="5" w:tplc="AC4C63DC">
      <w:start w:val="1"/>
      <w:numFmt w:val="bullet"/>
      <w:lvlText w:val=""/>
      <w:lvlJc w:val="left"/>
      <w:pPr>
        <w:ind w:left="4320" w:hanging="360"/>
      </w:pPr>
      <w:rPr>
        <w:rFonts w:hint="default" w:ascii="Wingdings" w:hAnsi="Wingdings"/>
      </w:rPr>
    </w:lvl>
    <w:lvl w:ilvl="6" w:tplc="79D2FF60">
      <w:start w:val="1"/>
      <w:numFmt w:val="bullet"/>
      <w:lvlText w:val=""/>
      <w:lvlJc w:val="left"/>
      <w:pPr>
        <w:ind w:left="5040" w:hanging="360"/>
      </w:pPr>
      <w:rPr>
        <w:rFonts w:hint="default" w:ascii="Symbol" w:hAnsi="Symbol"/>
      </w:rPr>
    </w:lvl>
    <w:lvl w:ilvl="7" w:tplc="A2CE2CC0">
      <w:start w:val="1"/>
      <w:numFmt w:val="bullet"/>
      <w:lvlText w:val="o"/>
      <w:lvlJc w:val="left"/>
      <w:pPr>
        <w:ind w:left="5760" w:hanging="360"/>
      </w:pPr>
      <w:rPr>
        <w:rFonts w:hint="default" w:ascii="Courier New" w:hAnsi="Courier New"/>
      </w:rPr>
    </w:lvl>
    <w:lvl w:ilvl="8" w:tplc="51C8C340">
      <w:start w:val="1"/>
      <w:numFmt w:val="bullet"/>
      <w:lvlText w:val=""/>
      <w:lvlJc w:val="left"/>
      <w:pPr>
        <w:ind w:left="6480" w:hanging="360"/>
      </w:pPr>
      <w:rPr>
        <w:rFonts w:hint="default" w:ascii="Wingdings" w:hAnsi="Wingdings"/>
      </w:rPr>
    </w:lvl>
  </w:abstractNum>
  <w:abstractNum w:abstractNumId="7" w15:restartNumberingAfterBreak="0">
    <w:nsid w:val="24A8F444"/>
    <w:multiLevelType w:val="hybridMultilevel"/>
    <w:tmpl w:val="E080351A"/>
    <w:lvl w:ilvl="0" w:tplc="7B12FEBC">
      <w:start w:val="1"/>
      <w:numFmt w:val="bullet"/>
      <w:lvlText w:val=""/>
      <w:lvlJc w:val="left"/>
      <w:pPr>
        <w:ind w:left="720" w:hanging="360"/>
      </w:pPr>
      <w:rPr>
        <w:rFonts w:hint="default" w:ascii="Symbol" w:hAnsi="Symbol"/>
      </w:rPr>
    </w:lvl>
    <w:lvl w:ilvl="1" w:tplc="FB3E1A42">
      <w:start w:val="1"/>
      <w:numFmt w:val="bullet"/>
      <w:lvlText w:val="o"/>
      <w:lvlJc w:val="left"/>
      <w:pPr>
        <w:ind w:left="1440" w:hanging="360"/>
      </w:pPr>
      <w:rPr>
        <w:rFonts w:hint="default" w:ascii="Courier New" w:hAnsi="Courier New"/>
      </w:rPr>
    </w:lvl>
    <w:lvl w:ilvl="2" w:tplc="C66008C0">
      <w:start w:val="1"/>
      <w:numFmt w:val="bullet"/>
      <w:lvlText w:val=""/>
      <w:lvlJc w:val="left"/>
      <w:pPr>
        <w:ind w:left="2160" w:hanging="360"/>
      </w:pPr>
      <w:rPr>
        <w:rFonts w:hint="default" w:ascii="Wingdings" w:hAnsi="Wingdings"/>
      </w:rPr>
    </w:lvl>
    <w:lvl w:ilvl="3" w:tplc="FC20E884">
      <w:start w:val="1"/>
      <w:numFmt w:val="bullet"/>
      <w:lvlText w:val=""/>
      <w:lvlJc w:val="left"/>
      <w:pPr>
        <w:ind w:left="2880" w:hanging="360"/>
      </w:pPr>
      <w:rPr>
        <w:rFonts w:hint="default" w:ascii="Symbol" w:hAnsi="Symbol"/>
      </w:rPr>
    </w:lvl>
    <w:lvl w:ilvl="4" w:tplc="C4DCC91A">
      <w:start w:val="1"/>
      <w:numFmt w:val="bullet"/>
      <w:lvlText w:val="o"/>
      <w:lvlJc w:val="left"/>
      <w:pPr>
        <w:ind w:left="3600" w:hanging="360"/>
      </w:pPr>
      <w:rPr>
        <w:rFonts w:hint="default" w:ascii="Courier New" w:hAnsi="Courier New"/>
      </w:rPr>
    </w:lvl>
    <w:lvl w:ilvl="5" w:tplc="79DEAEC0">
      <w:start w:val="1"/>
      <w:numFmt w:val="bullet"/>
      <w:lvlText w:val=""/>
      <w:lvlJc w:val="left"/>
      <w:pPr>
        <w:ind w:left="4320" w:hanging="360"/>
      </w:pPr>
      <w:rPr>
        <w:rFonts w:hint="default" w:ascii="Wingdings" w:hAnsi="Wingdings"/>
      </w:rPr>
    </w:lvl>
    <w:lvl w:ilvl="6" w:tplc="A628E7E8">
      <w:start w:val="1"/>
      <w:numFmt w:val="bullet"/>
      <w:lvlText w:val=""/>
      <w:lvlJc w:val="left"/>
      <w:pPr>
        <w:ind w:left="5040" w:hanging="360"/>
      </w:pPr>
      <w:rPr>
        <w:rFonts w:hint="default" w:ascii="Symbol" w:hAnsi="Symbol"/>
      </w:rPr>
    </w:lvl>
    <w:lvl w:ilvl="7" w:tplc="70CCBD34">
      <w:start w:val="1"/>
      <w:numFmt w:val="bullet"/>
      <w:lvlText w:val="o"/>
      <w:lvlJc w:val="left"/>
      <w:pPr>
        <w:ind w:left="5760" w:hanging="360"/>
      </w:pPr>
      <w:rPr>
        <w:rFonts w:hint="default" w:ascii="Courier New" w:hAnsi="Courier New"/>
      </w:rPr>
    </w:lvl>
    <w:lvl w:ilvl="8" w:tplc="E75C34C2">
      <w:start w:val="1"/>
      <w:numFmt w:val="bullet"/>
      <w:lvlText w:val=""/>
      <w:lvlJc w:val="left"/>
      <w:pPr>
        <w:ind w:left="6480" w:hanging="360"/>
      </w:pPr>
      <w:rPr>
        <w:rFonts w:hint="default" w:ascii="Wingdings" w:hAnsi="Wingdings"/>
      </w:rPr>
    </w:lvl>
  </w:abstractNum>
  <w:abstractNum w:abstractNumId="8" w15:restartNumberingAfterBreak="0">
    <w:nsid w:val="28C134EE"/>
    <w:multiLevelType w:val="hybridMultilevel"/>
    <w:tmpl w:val="ADFADDA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9" w15:restartNumberingAfterBreak="0">
    <w:nsid w:val="33EA652D"/>
    <w:multiLevelType w:val="hybridMultilevel"/>
    <w:tmpl w:val="E8C6AE34"/>
    <w:lvl w:ilvl="0" w:tplc="FFFFFFFF">
      <w:start w:val="1"/>
      <w:numFmt w:val="bullet"/>
      <w:pStyle w:val="ListParagraph"/>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6034C4F"/>
    <w:multiLevelType w:val="hybridMultilevel"/>
    <w:tmpl w:val="28CEB60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3DB48294"/>
    <w:multiLevelType w:val="multilevel"/>
    <w:tmpl w:val="2ABE304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ED37765"/>
    <w:multiLevelType w:val="hybridMultilevel"/>
    <w:tmpl w:val="3954CCE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3F95660B"/>
    <w:multiLevelType w:val="hybridMultilevel"/>
    <w:tmpl w:val="4184EEA2"/>
    <w:lvl w:ilvl="0" w:tplc="5202A52C">
      <w:start w:val="1"/>
      <w:numFmt w:val="bullet"/>
      <w:lvlText w:val="·"/>
      <w:lvlJc w:val="left"/>
      <w:pPr>
        <w:ind w:left="720" w:hanging="360"/>
      </w:pPr>
      <w:rPr>
        <w:rFonts w:hint="default" w:ascii="Symbol" w:hAnsi="Symbol"/>
      </w:rPr>
    </w:lvl>
    <w:lvl w:ilvl="1" w:tplc="0742C662">
      <w:start w:val="1"/>
      <w:numFmt w:val="bullet"/>
      <w:lvlText w:val="o"/>
      <w:lvlJc w:val="left"/>
      <w:pPr>
        <w:ind w:left="1440" w:hanging="360"/>
      </w:pPr>
      <w:rPr>
        <w:rFonts w:hint="default" w:ascii="Courier New" w:hAnsi="Courier New"/>
      </w:rPr>
    </w:lvl>
    <w:lvl w:ilvl="2" w:tplc="597C418C">
      <w:start w:val="1"/>
      <w:numFmt w:val="bullet"/>
      <w:lvlText w:val=""/>
      <w:lvlJc w:val="left"/>
      <w:pPr>
        <w:ind w:left="2160" w:hanging="360"/>
      </w:pPr>
      <w:rPr>
        <w:rFonts w:hint="default" w:ascii="Wingdings" w:hAnsi="Wingdings"/>
      </w:rPr>
    </w:lvl>
    <w:lvl w:ilvl="3" w:tplc="E46A379E">
      <w:start w:val="1"/>
      <w:numFmt w:val="bullet"/>
      <w:lvlText w:val=""/>
      <w:lvlJc w:val="left"/>
      <w:pPr>
        <w:ind w:left="2880" w:hanging="360"/>
      </w:pPr>
      <w:rPr>
        <w:rFonts w:hint="default" w:ascii="Symbol" w:hAnsi="Symbol"/>
      </w:rPr>
    </w:lvl>
    <w:lvl w:ilvl="4" w:tplc="07EC50B8">
      <w:start w:val="1"/>
      <w:numFmt w:val="bullet"/>
      <w:lvlText w:val="o"/>
      <w:lvlJc w:val="left"/>
      <w:pPr>
        <w:ind w:left="3600" w:hanging="360"/>
      </w:pPr>
      <w:rPr>
        <w:rFonts w:hint="default" w:ascii="Courier New" w:hAnsi="Courier New"/>
      </w:rPr>
    </w:lvl>
    <w:lvl w:ilvl="5" w:tplc="26B2EAF6">
      <w:start w:val="1"/>
      <w:numFmt w:val="bullet"/>
      <w:lvlText w:val=""/>
      <w:lvlJc w:val="left"/>
      <w:pPr>
        <w:ind w:left="4320" w:hanging="360"/>
      </w:pPr>
      <w:rPr>
        <w:rFonts w:hint="default" w:ascii="Wingdings" w:hAnsi="Wingdings"/>
      </w:rPr>
    </w:lvl>
    <w:lvl w:ilvl="6" w:tplc="97C01970">
      <w:start w:val="1"/>
      <w:numFmt w:val="bullet"/>
      <w:lvlText w:val=""/>
      <w:lvlJc w:val="left"/>
      <w:pPr>
        <w:ind w:left="5040" w:hanging="360"/>
      </w:pPr>
      <w:rPr>
        <w:rFonts w:hint="default" w:ascii="Symbol" w:hAnsi="Symbol"/>
      </w:rPr>
    </w:lvl>
    <w:lvl w:ilvl="7" w:tplc="46FC9214">
      <w:start w:val="1"/>
      <w:numFmt w:val="bullet"/>
      <w:lvlText w:val="o"/>
      <w:lvlJc w:val="left"/>
      <w:pPr>
        <w:ind w:left="5760" w:hanging="360"/>
      </w:pPr>
      <w:rPr>
        <w:rFonts w:hint="default" w:ascii="Courier New" w:hAnsi="Courier New"/>
      </w:rPr>
    </w:lvl>
    <w:lvl w:ilvl="8" w:tplc="6C521990">
      <w:start w:val="1"/>
      <w:numFmt w:val="bullet"/>
      <w:lvlText w:val=""/>
      <w:lvlJc w:val="left"/>
      <w:pPr>
        <w:ind w:left="6480" w:hanging="360"/>
      </w:pPr>
      <w:rPr>
        <w:rFonts w:hint="default" w:ascii="Wingdings" w:hAnsi="Wingdings"/>
      </w:rPr>
    </w:lvl>
  </w:abstractNum>
  <w:abstractNum w:abstractNumId="14" w15:restartNumberingAfterBreak="0">
    <w:nsid w:val="415CECF9"/>
    <w:multiLevelType w:val="hybridMultilevel"/>
    <w:tmpl w:val="5E0E9E84"/>
    <w:lvl w:ilvl="0" w:tplc="A4967FBC">
      <w:start w:val="1"/>
      <w:numFmt w:val="bullet"/>
      <w:lvlText w:val=""/>
      <w:lvlJc w:val="left"/>
      <w:pPr>
        <w:ind w:left="720" w:hanging="360"/>
      </w:pPr>
      <w:rPr>
        <w:rFonts w:hint="default" w:ascii="Symbol" w:hAnsi="Symbol"/>
      </w:rPr>
    </w:lvl>
    <w:lvl w:ilvl="1" w:tplc="C39E1E82">
      <w:start w:val="1"/>
      <w:numFmt w:val="bullet"/>
      <w:lvlText w:val="o"/>
      <w:lvlJc w:val="left"/>
      <w:pPr>
        <w:ind w:left="1440" w:hanging="360"/>
      </w:pPr>
      <w:rPr>
        <w:rFonts w:hint="default" w:ascii="Courier New" w:hAnsi="Courier New"/>
      </w:rPr>
    </w:lvl>
    <w:lvl w:ilvl="2" w:tplc="C07A7F54">
      <w:start w:val="1"/>
      <w:numFmt w:val="bullet"/>
      <w:lvlText w:val=""/>
      <w:lvlJc w:val="left"/>
      <w:pPr>
        <w:ind w:left="2160" w:hanging="360"/>
      </w:pPr>
      <w:rPr>
        <w:rFonts w:hint="default" w:ascii="Wingdings" w:hAnsi="Wingdings"/>
      </w:rPr>
    </w:lvl>
    <w:lvl w:ilvl="3" w:tplc="42E23810">
      <w:start w:val="1"/>
      <w:numFmt w:val="bullet"/>
      <w:lvlText w:val=""/>
      <w:lvlJc w:val="left"/>
      <w:pPr>
        <w:ind w:left="2880" w:hanging="360"/>
      </w:pPr>
      <w:rPr>
        <w:rFonts w:hint="default" w:ascii="Symbol" w:hAnsi="Symbol"/>
      </w:rPr>
    </w:lvl>
    <w:lvl w:ilvl="4" w:tplc="1B46CCE6">
      <w:start w:val="1"/>
      <w:numFmt w:val="bullet"/>
      <w:lvlText w:val="o"/>
      <w:lvlJc w:val="left"/>
      <w:pPr>
        <w:ind w:left="3600" w:hanging="360"/>
      </w:pPr>
      <w:rPr>
        <w:rFonts w:hint="default" w:ascii="Courier New" w:hAnsi="Courier New"/>
      </w:rPr>
    </w:lvl>
    <w:lvl w:ilvl="5" w:tplc="465A6864">
      <w:start w:val="1"/>
      <w:numFmt w:val="bullet"/>
      <w:lvlText w:val=""/>
      <w:lvlJc w:val="left"/>
      <w:pPr>
        <w:ind w:left="4320" w:hanging="360"/>
      </w:pPr>
      <w:rPr>
        <w:rFonts w:hint="default" w:ascii="Wingdings" w:hAnsi="Wingdings"/>
      </w:rPr>
    </w:lvl>
    <w:lvl w:ilvl="6" w:tplc="65248ACC">
      <w:start w:val="1"/>
      <w:numFmt w:val="bullet"/>
      <w:lvlText w:val=""/>
      <w:lvlJc w:val="left"/>
      <w:pPr>
        <w:ind w:left="5040" w:hanging="360"/>
      </w:pPr>
      <w:rPr>
        <w:rFonts w:hint="default" w:ascii="Symbol" w:hAnsi="Symbol"/>
      </w:rPr>
    </w:lvl>
    <w:lvl w:ilvl="7" w:tplc="1708CDC2">
      <w:start w:val="1"/>
      <w:numFmt w:val="bullet"/>
      <w:lvlText w:val="o"/>
      <w:lvlJc w:val="left"/>
      <w:pPr>
        <w:ind w:left="5760" w:hanging="360"/>
      </w:pPr>
      <w:rPr>
        <w:rFonts w:hint="default" w:ascii="Courier New" w:hAnsi="Courier New"/>
      </w:rPr>
    </w:lvl>
    <w:lvl w:ilvl="8" w:tplc="036ED980">
      <w:start w:val="1"/>
      <w:numFmt w:val="bullet"/>
      <w:lvlText w:val=""/>
      <w:lvlJc w:val="left"/>
      <w:pPr>
        <w:ind w:left="6480" w:hanging="360"/>
      </w:pPr>
      <w:rPr>
        <w:rFonts w:hint="default" w:ascii="Wingdings" w:hAnsi="Wingdings"/>
      </w:rPr>
    </w:lvl>
  </w:abstractNum>
  <w:abstractNum w:abstractNumId="15" w15:restartNumberingAfterBreak="0">
    <w:nsid w:val="41A1D2A7"/>
    <w:multiLevelType w:val="hybridMultilevel"/>
    <w:tmpl w:val="D54A0ED2"/>
    <w:lvl w:ilvl="0" w:tplc="124678E6">
      <w:start w:val="1"/>
      <w:numFmt w:val="bullet"/>
      <w:lvlText w:val=""/>
      <w:lvlJc w:val="left"/>
      <w:pPr>
        <w:ind w:left="720" w:hanging="360"/>
      </w:pPr>
      <w:rPr>
        <w:rFonts w:hint="default" w:ascii="Symbol" w:hAnsi="Symbol"/>
      </w:rPr>
    </w:lvl>
    <w:lvl w:ilvl="1" w:tplc="7226AA02">
      <w:start w:val="1"/>
      <w:numFmt w:val="bullet"/>
      <w:lvlText w:val="o"/>
      <w:lvlJc w:val="left"/>
      <w:pPr>
        <w:ind w:left="1440" w:hanging="360"/>
      </w:pPr>
      <w:rPr>
        <w:rFonts w:hint="default" w:ascii="Courier New" w:hAnsi="Courier New"/>
      </w:rPr>
    </w:lvl>
    <w:lvl w:ilvl="2" w:tplc="BE9E324C">
      <w:start w:val="1"/>
      <w:numFmt w:val="bullet"/>
      <w:lvlText w:val=""/>
      <w:lvlJc w:val="left"/>
      <w:pPr>
        <w:ind w:left="2160" w:hanging="360"/>
      </w:pPr>
      <w:rPr>
        <w:rFonts w:hint="default" w:ascii="Wingdings" w:hAnsi="Wingdings"/>
      </w:rPr>
    </w:lvl>
    <w:lvl w:ilvl="3" w:tplc="F8323E04">
      <w:start w:val="1"/>
      <w:numFmt w:val="bullet"/>
      <w:lvlText w:val=""/>
      <w:lvlJc w:val="left"/>
      <w:pPr>
        <w:ind w:left="2880" w:hanging="360"/>
      </w:pPr>
      <w:rPr>
        <w:rFonts w:hint="default" w:ascii="Symbol" w:hAnsi="Symbol"/>
      </w:rPr>
    </w:lvl>
    <w:lvl w:ilvl="4" w:tplc="94424492">
      <w:start w:val="1"/>
      <w:numFmt w:val="bullet"/>
      <w:lvlText w:val="o"/>
      <w:lvlJc w:val="left"/>
      <w:pPr>
        <w:ind w:left="3600" w:hanging="360"/>
      </w:pPr>
      <w:rPr>
        <w:rFonts w:hint="default" w:ascii="Courier New" w:hAnsi="Courier New"/>
      </w:rPr>
    </w:lvl>
    <w:lvl w:ilvl="5" w:tplc="1576BE3A">
      <w:start w:val="1"/>
      <w:numFmt w:val="bullet"/>
      <w:lvlText w:val=""/>
      <w:lvlJc w:val="left"/>
      <w:pPr>
        <w:ind w:left="4320" w:hanging="360"/>
      </w:pPr>
      <w:rPr>
        <w:rFonts w:hint="default" w:ascii="Wingdings" w:hAnsi="Wingdings"/>
      </w:rPr>
    </w:lvl>
    <w:lvl w:ilvl="6" w:tplc="4986F784">
      <w:start w:val="1"/>
      <w:numFmt w:val="bullet"/>
      <w:lvlText w:val=""/>
      <w:lvlJc w:val="left"/>
      <w:pPr>
        <w:ind w:left="5040" w:hanging="360"/>
      </w:pPr>
      <w:rPr>
        <w:rFonts w:hint="default" w:ascii="Symbol" w:hAnsi="Symbol"/>
      </w:rPr>
    </w:lvl>
    <w:lvl w:ilvl="7" w:tplc="3DA4335A">
      <w:start w:val="1"/>
      <w:numFmt w:val="bullet"/>
      <w:lvlText w:val="o"/>
      <w:lvlJc w:val="left"/>
      <w:pPr>
        <w:ind w:left="5760" w:hanging="360"/>
      </w:pPr>
      <w:rPr>
        <w:rFonts w:hint="default" w:ascii="Courier New" w:hAnsi="Courier New"/>
      </w:rPr>
    </w:lvl>
    <w:lvl w:ilvl="8" w:tplc="89B6A318">
      <w:start w:val="1"/>
      <w:numFmt w:val="bullet"/>
      <w:lvlText w:val=""/>
      <w:lvlJc w:val="left"/>
      <w:pPr>
        <w:ind w:left="6480" w:hanging="360"/>
      </w:pPr>
      <w:rPr>
        <w:rFonts w:hint="default" w:ascii="Wingdings" w:hAnsi="Wingdings"/>
      </w:rPr>
    </w:lvl>
  </w:abstractNum>
  <w:abstractNum w:abstractNumId="16" w15:restartNumberingAfterBreak="0">
    <w:nsid w:val="42F3766C"/>
    <w:multiLevelType w:val="hybridMultilevel"/>
    <w:tmpl w:val="CF3CB2C0"/>
    <w:lvl w:ilvl="0" w:tplc="DF6CABC8">
      <w:start w:val="1"/>
      <w:numFmt w:val="bullet"/>
      <w:lvlText w:val="·"/>
      <w:lvlJc w:val="left"/>
      <w:pPr>
        <w:ind w:left="720" w:hanging="360"/>
      </w:pPr>
      <w:rPr>
        <w:rFonts w:hint="default" w:ascii="Symbol" w:hAnsi="Symbol"/>
      </w:rPr>
    </w:lvl>
    <w:lvl w:ilvl="1" w:tplc="A2FE7AC0">
      <w:start w:val="1"/>
      <w:numFmt w:val="bullet"/>
      <w:lvlText w:val="o"/>
      <w:lvlJc w:val="left"/>
      <w:pPr>
        <w:ind w:left="1440" w:hanging="360"/>
      </w:pPr>
      <w:rPr>
        <w:rFonts w:hint="default" w:ascii="Courier New" w:hAnsi="Courier New"/>
      </w:rPr>
    </w:lvl>
    <w:lvl w:ilvl="2" w:tplc="BEB0DFFA">
      <w:start w:val="1"/>
      <w:numFmt w:val="bullet"/>
      <w:lvlText w:val=""/>
      <w:lvlJc w:val="left"/>
      <w:pPr>
        <w:ind w:left="2160" w:hanging="360"/>
      </w:pPr>
      <w:rPr>
        <w:rFonts w:hint="default" w:ascii="Wingdings" w:hAnsi="Wingdings"/>
      </w:rPr>
    </w:lvl>
    <w:lvl w:ilvl="3" w:tplc="38CA2BFC">
      <w:start w:val="1"/>
      <w:numFmt w:val="bullet"/>
      <w:lvlText w:val=""/>
      <w:lvlJc w:val="left"/>
      <w:pPr>
        <w:ind w:left="2880" w:hanging="360"/>
      </w:pPr>
      <w:rPr>
        <w:rFonts w:hint="default" w:ascii="Symbol" w:hAnsi="Symbol"/>
      </w:rPr>
    </w:lvl>
    <w:lvl w:ilvl="4" w:tplc="DE7A94F6">
      <w:start w:val="1"/>
      <w:numFmt w:val="bullet"/>
      <w:lvlText w:val="o"/>
      <w:lvlJc w:val="left"/>
      <w:pPr>
        <w:ind w:left="3600" w:hanging="360"/>
      </w:pPr>
      <w:rPr>
        <w:rFonts w:hint="default" w:ascii="Courier New" w:hAnsi="Courier New"/>
      </w:rPr>
    </w:lvl>
    <w:lvl w:ilvl="5" w:tplc="3822DE26">
      <w:start w:val="1"/>
      <w:numFmt w:val="bullet"/>
      <w:lvlText w:val=""/>
      <w:lvlJc w:val="left"/>
      <w:pPr>
        <w:ind w:left="4320" w:hanging="360"/>
      </w:pPr>
      <w:rPr>
        <w:rFonts w:hint="default" w:ascii="Wingdings" w:hAnsi="Wingdings"/>
      </w:rPr>
    </w:lvl>
    <w:lvl w:ilvl="6" w:tplc="F6FEF156">
      <w:start w:val="1"/>
      <w:numFmt w:val="bullet"/>
      <w:lvlText w:val=""/>
      <w:lvlJc w:val="left"/>
      <w:pPr>
        <w:ind w:left="5040" w:hanging="360"/>
      </w:pPr>
      <w:rPr>
        <w:rFonts w:hint="default" w:ascii="Symbol" w:hAnsi="Symbol"/>
      </w:rPr>
    </w:lvl>
    <w:lvl w:ilvl="7" w:tplc="F4805B14">
      <w:start w:val="1"/>
      <w:numFmt w:val="bullet"/>
      <w:lvlText w:val="o"/>
      <w:lvlJc w:val="left"/>
      <w:pPr>
        <w:ind w:left="5760" w:hanging="360"/>
      </w:pPr>
      <w:rPr>
        <w:rFonts w:hint="default" w:ascii="Courier New" w:hAnsi="Courier New"/>
      </w:rPr>
    </w:lvl>
    <w:lvl w:ilvl="8" w:tplc="631A3FBE">
      <w:start w:val="1"/>
      <w:numFmt w:val="bullet"/>
      <w:lvlText w:val=""/>
      <w:lvlJc w:val="left"/>
      <w:pPr>
        <w:ind w:left="6480" w:hanging="360"/>
      </w:pPr>
      <w:rPr>
        <w:rFonts w:hint="default" w:ascii="Wingdings" w:hAnsi="Wingdings"/>
      </w:rPr>
    </w:lvl>
  </w:abstractNum>
  <w:abstractNum w:abstractNumId="17" w15:restartNumberingAfterBreak="0">
    <w:nsid w:val="45B21862"/>
    <w:multiLevelType w:val="hybridMultilevel"/>
    <w:tmpl w:val="B4688D86"/>
    <w:lvl w:ilvl="0" w:tplc="CF849ADC">
      <w:start w:val="1"/>
      <w:numFmt w:val="bullet"/>
      <w:lvlText w:val=""/>
      <w:lvlJc w:val="left"/>
      <w:pPr>
        <w:ind w:left="720" w:hanging="360"/>
      </w:pPr>
      <w:rPr>
        <w:rFonts w:hint="default" w:ascii="Symbol" w:hAnsi="Symbol"/>
      </w:rPr>
    </w:lvl>
    <w:lvl w:ilvl="1" w:tplc="84729B82">
      <w:start w:val="1"/>
      <w:numFmt w:val="bullet"/>
      <w:lvlText w:val="o"/>
      <w:lvlJc w:val="left"/>
      <w:pPr>
        <w:ind w:left="1440" w:hanging="360"/>
      </w:pPr>
      <w:rPr>
        <w:rFonts w:hint="default" w:ascii="Courier New" w:hAnsi="Courier New"/>
      </w:rPr>
    </w:lvl>
    <w:lvl w:ilvl="2" w:tplc="5E460BC0">
      <w:start w:val="1"/>
      <w:numFmt w:val="bullet"/>
      <w:lvlText w:val=""/>
      <w:lvlJc w:val="left"/>
      <w:pPr>
        <w:ind w:left="2160" w:hanging="360"/>
      </w:pPr>
      <w:rPr>
        <w:rFonts w:hint="default" w:ascii="Wingdings" w:hAnsi="Wingdings"/>
      </w:rPr>
    </w:lvl>
    <w:lvl w:ilvl="3" w:tplc="357EACEE">
      <w:start w:val="1"/>
      <w:numFmt w:val="bullet"/>
      <w:lvlText w:val=""/>
      <w:lvlJc w:val="left"/>
      <w:pPr>
        <w:ind w:left="2880" w:hanging="360"/>
      </w:pPr>
      <w:rPr>
        <w:rFonts w:hint="default" w:ascii="Symbol" w:hAnsi="Symbol"/>
      </w:rPr>
    </w:lvl>
    <w:lvl w:ilvl="4" w:tplc="D1A2C982">
      <w:start w:val="1"/>
      <w:numFmt w:val="bullet"/>
      <w:lvlText w:val="o"/>
      <w:lvlJc w:val="left"/>
      <w:pPr>
        <w:ind w:left="3600" w:hanging="360"/>
      </w:pPr>
      <w:rPr>
        <w:rFonts w:hint="default" w:ascii="Courier New" w:hAnsi="Courier New"/>
      </w:rPr>
    </w:lvl>
    <w:lvl w:ilvl="5" w:tplc="19F079C8">
      <w:start w:val="1"/>
      <w:numFmt w:val="bullet"/>
      <w:lvlText w:val=""/>
      <w:lvlJc w:val="left"/>
      <w:pPr>
        <w:ind w:left="4320" w:hanging="360"/>
      </w:pPr>
      <w:rPr>
        <w:rFonts w:hint="default" w:ascii="Wingdings" w:hAnsi="Wingdings"/>
      </w:rPr>
    </w:lvl>
    <w:lvl w:ilvl="6" w:tplc="4DE48D58">
      <w:start w:val="1"/>
      <w:numFmt w:val="bullet"/>
      <w:lvlText w:val=""/>
      <w:lvlJc w:val="left"/>
      <w:pPr>
        <w:ind w:left="5040" w:hanging="360"/>
      </w:pPr>
      <w:rPr>
        <w:rFonts w:hint="default" w:ascii="Symbol" w:hAnsi="Symbol"/>
      </w:rPr>
    </w:lvl>
    <w:lvl w:ilvl="7" w:tplc="1518A430">
      <w:start w:val="1"/>
      <w:numFmt w:val="bullet"/>
      <w:lvlText w:val="o"/>
      <w:lvlJc w:val="left"/>
      <w:pPr>
        <w:ind w:left="5760" w:hanging="360"/>
      </w:pPr>
      <w:rPr>
        <w:rFonts w:hint="default" w:ascii="Courier New" w:hAnsi="Courier New"/>
      </w:rPr>
    </w:lvl>
    <w:lvl w:ilvl="8" w:tplc="444EDDE4">
      <w:start w:val="1"/>
      <w:numFmt w:val="bullet"/>
      <w:lvlText w:val=""/>
      <w:lvlJc w:val="left"/>
      <w:pPr>
        <w:ind w:left="6480" w:hanging="360"/>
      </w:pPr>
      <w:rPr>
        <w:rFonts w:hint="default" w:ascii="Wingdings" w:hAnsi="Wingdings"/>
      </w:rPr>
    </w:lvl>
  </w:abstractNum>
  <w:abstractNum w:abstractNumId="18" w15:restartNumberingAfterBreak="0">
    <w:nsid w:val="49A8E18A"/>
    <w:multiLevelType w:val="hybridMultilevel"/>
    <w:tmpl w:val="A64AFD16"/>
    <w:lvl w:ilvl="0" w:tplc="FF4CD2BC">
      <w:start w:val="1"/>
      <w:numFmt w:val="bullet"/>
      <w:lvlText w:val="Ø"/>
      <w:lvlJc w:val="left"/>
      <w:pPr>
        <w:ind w:left="720" w:hanging="360"/>
      </w:pPr>
      <w:rPr>
        <w:rFonts w:hint="default" w:ascii="Wingdings" w:hAnsi="Wingdings"/>
      </w:rPr>
    </w:lvl>
    <w:lvl w:ilvl="1" w:tplc="314CA6CC">
      <w:start w:val="1"/>
      <w:numFmt w:val="bullet"/>
      <w:lvlText w:val="o"/>
      <w:lvlJc w:val="left"/>
      <w:pPr>
        <w:ind w:left="1440" w:hanging="360"/>
      </w:pPr>
      <w:rPr>
        <w:rFonts w:hint="default" w:ascii="Courier New" w:hAnsi="Courier New"/>
      </w:rPr>
    </w:lvl>
    <w:lvl w:ilvl="2" w:tplc="773EF282">
      <w:start w:val="1"/>
      <w:numFmt w:val="bullet"/>
      <w:lvlText w:val=""/>
      <w:lvlJc w:val="left"/>
      <w:pPr>
        <w:ind w:left="2160" w:hanging="360"/>
      </w:pPr>
      <w:rPr>
        <w:rFonts w:hint="default" w:ascii="Wingdings" w:hAnsi="Wingdings"/>
      </w:rPr>
    </w:lvl>
    <w:lvl w:ilvl="3" w:tplc="FC783EFE">
      <w:start w:val="1"/>
      <w:numFmt w:val="bullet"/>
      <w:lvlText w:val=""/>
      <w:lvlJc w:val="left"/>
      <w:pPr>
        <w:ind w:left="2880" w:hanging="360"/>
      </w:pPr>
      <w:rPr>
        <w:rFonts w:hint="default" w:ascii="Symbol" w:hAnsi="Symbol"/>
      </w:rPr>
    </w:lvl>
    <w:lvl w:ilvl="4" w:tplc="26CEFE46">
      <w:start w:val="1"/>
      <w:numFmt w:val="bullet"/>
      <w:lvlText w:val="o"/>
      <w:lvlJc w:val="left"/>
      <w:pPr>
        <w:ind w:left="3600" w:hanging="360"/>
      </w:pPr>
      <w:rPr>
        <w:rFonts w:hint="default" w:ascii="Courier New" w:hAnsi="Courier New"/>
      </w:rPr>
    </w:lvl>
    <w:lvl w:ilvl="5" w:tplc="4E14B7BA">
      <w:start w:val="1"/>
      <w:numFmt w:val="bullet"/>
      <w:lvlText w:val=""/>
      <w:lvlJc w:val="left"/>
      <w:pPr>
        <w:ind w:left="4320" w:hanging="360"/>
      </w:pPr>
      <w:rPr>
        <w:rFonts w:hint="default" w:ascii="Wingdings" w:hAnsi="Wingdings"/>
      </w:rPr>
    </w:lvl>
    <w:lvl w:ilvl="6" w:tplc="E86C086E">
      <w:start w:val="1"/>
      <w:numFmt w:val="bullet"/>
      <w:lvlText w:val=""/>
      <w:lvlJc w:val="left"/>
      <w:pPr>
        <w:ind w:left="5040" w:hanging="360"/>
      </w:pPr>
      <w:rPr>
        <w:rFonts w:hint="default" w:ascii="Symbol" w:hAnsi="Symbol"/>
      </w:rPr>
    </w:lvl>
    <w:lvl w:ilvl="7" w:tplc="C4F69774">
      <w:start w:val="1"/>
      <w:numFmt w:val="bullet"/>
      <w:lvlText w:val="o"/>
      <w:lvlJc w:val="left"/>
      <w:pPr>
        <w:ind w:left="5760" w:hanging="360"/>
      </w:pPr>
      <w:rPr>
        <w:rFonts w:hint="default" w:ascii="Courier New" w:hAnsi="Courier New"/>
      </w:rPr>
    </w:lvl>
    <w:lvl w:ilvl="8" w:tplc="DC96F320">
      <w:start w:val="1"/>
      <w:numFmt w:val="bullet"/>
      <w:lvlText w:val=""/>
      <w:lvlJc w:val="left"/>
      <w:pPr>
        <w:ind w:left="6480" w:hanging="360"/>
      </w:pPr>
      <w:rPr>
        <w:rFonts w:hint="default" w:ascii="Wingdings" w:hAnsi="Wingdings"/>
      </w:rPr>
    </w:lvl>
  </w:abstractNum>
  <w:abstractNum w:abstractNumId="19" w15:restartNumberingAfterBreak="0">
    <w:nsid w:val="4BB524AC"/>
    <w:multiLevelType w:val="hybridMultilevel"/>
    <w:tmpl w:val="05CE164C"/>
    <w:lvl w:ilvl="0" w:tplc="AC6060B0">
      <w:start w:val="1"/>
      <w:numFmt w:val="bullet"/>
      <w:lvlText w:val=""/>
      <w:lvlJc w:val="left"/>
      <w:pPr>
        <w:ind w:left="720" w:hanging="360"/>
      </w:pPr>
      <w:rPr>
        <w:rFonts w:hint="default" w:ascii="Symbol" w:hAnsi="Symbol"/>
      </w:rPr>
    </w:lvl>
    <w:lvl w:ilvl="1" w:tplc="CBB8C7A4">
      <w:start w:val="1"/>
      <w:numFmt w:val="bullet"/>
      <w:lvlText w:val="o"/>
      <w:lvlJc w:val="left"/>
      <w:pPr>
        <w:ind w:left="1440" w:hanging="360"/>
      </w:pPr>
      <w:rPr>
        <w:rFonts w:hint="default" w:ascii="Courier New" w:hAnsi="Courier New"/>
      </w:rPr>
    </w:lvl>
    <w:lvl w:ilvl="2" w:tplc="5CBC3434">
      <w:start w:val="1"/>
      <w:numFmt w:val="bullet"/>
      <w:lvlText w:val=""/>
      <w:lvlJc w:val="left"/>
      <w:pPr>
        <w:ind w:left="2160" w:hanging="360"/>
      </w:pPr>
      <w:rPr>
        <w:rFonts w:hint="default" w:ascii="Wingdings" w:hAnsi="Wingdings"/>
      </w:rPr>
    </w:lvl>
    <w:lvl w:ilvl="3" w:tplc="2F3EC362">
      <w:start w:val="1"/>
      <w:numFmt w:val="bullet"/>
      <w:lvlText w:val=""/>
      <w:lvlJc w:val="left"/>
      <w:pPr>
        <w:ind w:left="2880" w:hanging="360"/>
      </w:pPr>
      <w:rPr>
        <w:rFonts w:hint="default" w:ascii="Symbol" w:hAnsi="Symbol"/>
      </w:rPr>
    </w:lvl>
    <w:lvl w:ilvl="4" w:tplc="03F8BA56">
      <w:start w:val="1"/>
      <w:numFmt w:val="bullet"/>
      <w:lvlText w:val="o"/>
      <w:lvlJc w:val="left"/>
      <w:pPr>
        <w:ind w:left="3600" w:hanging="360"/>
      </w:pPr>
      <w:rPr>
        <w:rFonts w:hint="default" w:ascii="Courier New" w:hAnsi="Courier New"/>
      </w:rPr>
    </w:lvl>
    <w:lvl w:ilvl="5" w:tplc="2408957E">
      <w:start w:val="1"/>
      <w:numFmt w:val="bullet"/>
      <w:lvlText w:val=""/>
      <w:lvlJc w:val="left"/>
      <w:pPr>
        <w:ind w:left="4320" w:hanging="360"/>
      </w:pPr>
      <w:rPr>
        <w:rFonts w:hint="default" w:ascii="Wingdings" w:hAnsi="Wingdings"/>
      </w:rPr>
    </w:lvl>
    <w:lvl w:ilvl="6" w:tplc="7096B43A">
      <w:start w:val="1"/>
      <w:numFmt w:val="bullet"/>
      <w:lvlText w:val=""/>
      <w:lvlJc w:val="left"/>
      <w:pPr>
        <w:ind w:left="5040" w:hanging="360"/>
      </w:pPr>
      <w:rPr>
        <w:rFonts w:hint="default" w:ascii="Symbol" w:hAnsi="Symbol"/>
      </w:rPr>
    </w:lvl>
    <w:lvl w:ilvl="7" w:tplc="ADA8A50A">
      <w:start w:val="1"/>
      <w:numFmt w:val="bullet"/>
      <w:lvlText w:val="o"/>
      <w:lvlJc w:val="left"/>
      <w:pPr>
        <w:ind w:left="5760" w:hanging="360"/>
      </w:pPr>
      <w:rPr>
        <w:rFonts w:hint="default" w:ascii="Courier New" w:hAnsi="Courier New"/>
      </w:rPr>
    </w:lvl>
    <w:lvl w:ilvl="8" w:tplc="DECE15F4">
      <w:start w:val="1"/>
      <w:numFmt w:val="bullet"/>
      <w:lvlText w:val=""/>
      <w:lvlJc w:val="left"/>
      <w:pPr>
        <w:ind w:left="6480" w:hanging="360"/>
      </w:pPr>
      <w:rPr>
        <w:rFonts w:hint="default" w:ascii="Wingdings" w:hAnsi="Wingdings"/>
      </w:rPr>
    </w:lvl>
  </w:abstractNum>
  <w:abstractNum w:abstractNumId="20" w15:restartNumberingAfterBreak="0">
    <w:nsid w:val="4F5FAE86"/>
    <w:multiLevelType w:val="hybridMultilevel"/>
    <w:tmpl w:val="F5A8EE9C"/>
    <w:lvl w:ilvl="0" w:tplc="7BA02A3C">
      <w:start w:val="1"/>
      <w:numFmt w:val="decimal"/>
      <w:lvlText w:val="%1)"/>
      <w:lvlJc w:val="left"/>
      <w:pPr>
        <w:ind w:left="720" w:hanging="360"/>
      </w:pPr>
    </w:lvl>
    <w:lvl w:ilvl="1" w:tplc="B198BC8A">
      <w:start w:val="1"/>
      <w:numFmt w:val="lowerLetter"/>
      <w:lvlText w:val="%2."/>
      <w:lvlJc w:val="left"/>
      <w:pPr>
        <w:ind w:left="1440" w:hanging="360"/>
      </w:pPr>
    </w:lvl>
    <w:lvl w:ilvl="2" w:tplc="7088B036">
      <w:start w:val="1"/>
      <w:numFmt w:val="lowerRoman"/>
      <w:lvlText w:val="%3."/>
      <w:lvlJc w:val="right"/>
      <w:pPr>
        <w:ind w:left="2160" w:hanging="180"/>
      </w:pPr>
    </w:lvl>
    <w:lvl w:ilvl="3" w:tplc="99165208">
      <w:start w:val="1"/>
      <w:numFmt w:val="decimal"/>
      <w:lvlText w:val="%4."/>
      <w:lvlJc w:val="left"/>
      <w:pPr>
        <w:ind w:left="2880" w:hanging="360"/>
      </w:pPr>
    </w:lvl>
    <w:lvl w:ilvl="4" w:tplc="5172F38A">
      <w:start w:val="1"/>
      <w:numFmt w:val="lowerLetter"/>
      <w:lvlText w:val="%5."/>
      <w:lvlJc w:val="left"/>
      <w:pPr>
        <w:ind w:left="3600" w:hanging="360"/>
      </w:pPr>
    </w:lvl>
    <w:lvl w:ilvl="5" w:tplc="85EE8BEE">
      <w:start w:val="1"/>
      <w:numFmt w:val="lowerRoman"/>
      <w:lvlText w:val="%6."/>
      <w:lvlJc w:val="right"/>
      <w:pPr>
        <w:ind w:left="4320" w:hanging="180"/>
      </w:pPr>
    </w:lvl>
    <w:lvl w:ilvl="6" w:tplc="8F949F5A">
      <w:start w:val="1"/>
      <w:numFmt w:val="decimal"/>
      <w:lvlText w:val="%7."/>
      <w:lvlJc w:val="left"/>
      <w:pPr>
        <w:ind w:left="5040" w:hanging="360"/>
      </w:pPr>
    </w:lvl>
    <w:lvl w:ilvl="7" w:tplc="A6E42000">
      <w:start w:val="1"/>
      <w:numFmt w:val="lowerLetter"/>
      <w:lvlText w:val="%8."/>
      <w:lvlJc w:val="left"/>
      <w:pPr>
        <w:ind w:left="5760" w:hanging="360"/>
      </w:pPr>
    </w:lvl>
    <w:lvl w:ilvl="8" w:tplc="EC529E4C">
      <w:start w:val="1"/>
      <w:numFmt w:val="lowerRoman"/>
      <w:lvlText w:val="%9."/>
      <w:lvlJc w:val="right"/>
      <w:pPr>
        <w:ind w:left="6480" w:hanging="180"/>
      </w:pPr>
    </w:lvl>
  </w:abstractNum>
  <w:abstractNum w:abstractNumId="21" w15:restartNumberingAfterBreak="0">
    <w:nsid w:val="55B9B593"/>
    <w:multiLevelType w:val="hybridMultilevel"/>
    <w:tmpl w:val="89424564"/>
    <w:lvl w:ilvl="0" w:tplc="83D2779C">
      <w:start w:val="1"/>
      <w:numFmt w:val="decimal"/>
      <w:lvlText w:val="%1)"/>
      <w:lvlJc w:val="left"/>
      <w:pPr>
        <w:ind w:left="720" w:hanging="360"/>
      </w:pPr>
    </w:lvl>
    <w:lvl w:ilvl="1" w:tplc="249AA522">
      <w:start w:val="1"/>
      <w:numFmt w:val="lowerLetter"/>
      <w:lvlText w:val="%2."/>
      <w:lvlJc w:val="left"/>
      <w:pPr>
        <w:ind w:left="1440" w:hanging="360"/>
      </w:pPr>
    </w:lvl>
    <w:lvl w:ilvl="2" w:tplc="8D0A2174">
      <w:start w:val="1"/>
      <w:numFmt w:val="lowerRoman"/>
      <w:lvlText w:val="%3."/>
      <w:lvlJc w:val="right"/>
      <w:pPr>
        <w:ind w:left="2160" w:hanging="180"/>
      </w:pPr>
    </w:lvl>
    <w:lvl w:ilvl="3" w:tplc="B10A5EDC">
      <w:start w:val="1"/>
      <w:numFmt w:val="decimal"/>
      <w:lvlText w:val="%4."/>
      <w:lvlJc w:val="left"/>
      <w:pPr>
        <w:ind w:left="2880" w:hanging="360"/>
      </w:pPr>
    </w:lvl>
    <w:lvl w:ilvl="4" w:tplc="9CD4005C">
      <w:start w:val="1"/>
      <w:numFmt w:val="lowerLetter"/>
      <w:lvlText w:val="%5."/>
      <w:lvlJc w:val="left"/>
      <w:pPr>
        <w:ind w:left="3600" w:hanging="360"/>
      </w:pPr>
    </w:lvl>
    <w:lvl w:ilvl="5" w:tplc="16EA8B76">
      <w:start w:val="1"/>
      <w:numFmt w:val="lowerRoman"/>
      <w:lvlText w:val="%6."/>
      <w:lvlJc w:val="right"/>
      <w:pPr>
        <w:ind w:left="4320" w:hanging="180"/>
      </w:pPr>
    </w:lvl>
    <w:lvl w:ilvl="6" w:tplc="CF627BA6">
      <w:start w:val="1"/>
      <w:numFmt w:val="decimal"/>
      <w:lvlText w:val="%7."/>
      <w:lvlJc w:val="left"/>
      <w:pPr>
        <w:ind w:left="5040" w:hanging="360"/>
      </w:pPr>
    </w:lvl>
    <w:lvl w:ilvl="7" w:tplc="17546DC0">
      <w:start w:val="1"/>
      <w:numFmt w:val="lowerLetter"/>
      <w:lvlText w:val="%8."/>
      <w:lvlJc w:val="left"/>
      <w:pPr>
        <w:ind w:left="5760" w:hanging="360"/>
      </w:pPr>
    </w:lvl>
    <w:lvl w:ilvl="8" w:tplc="F49A79F6">
      <w:start w:val="1"/>
      <w:numFmt w:val="lowerRoman"/>
      <w:lvlText w:val="%9."/>
      <w:lvlJc w:val="right"/>
      <w:pPr>
        <w:ind w:left="6480" w:hanging="180"/>
      </w:pPr>
    </w:lvl>
  </w:abstractNum>
  <w:abstractNum w:abstractNumId="22" w15:restartNumberingAfterBreak="0">
    <w:nsid w:val="5DBD01F9"/>
    <w:multiLevelType w:val="hybridMultilevel"/>
    <w:tmpl w:val="EDAC92C2"/>
    <w:lvl w:ilvl="0" w:tplc="B6EE3E80">
      <w:start w:val="1"/>
      <w:numFmt w:val="bullet"/>
      <w:lvlText w:val="·"/>
      <w:lvlJc w:val="left"/>
      <w:pPr>
        <w:ind w:left="720" w:hanging="360"/>
      </w:pPr>
      <w:rPr>
        <w:rFonts w:hint="default" w:ascii="Symbol" w:hAnsi="Symbol"/>
      </w:rPr>
    </w:lvl>
    <w:lvl w:ilvl="1" w:tplc="FEE678CC">
      <w:start w:val="1"/>
      <w:numFmt w:val="bullet"/>
      <w:lvlText w:val="o"/>
      <w:lvlJc w:val="left"/>
      <w:pPr>
        <w:ind w:left="1440" w:hanging="360"/>
      </w:pPr>
      <w:rPr>
        <w:rFonts w:hint="default" w:ascii="Courier New" w:hAnsi="Courier New"/>
      </w:rPr>
    </w:lvl>
    <w:lvl w:ilvl="2" w:tplc="985C75DC">
      <w:start w:val="1"/>
      <w:numFmt w:val="bullet"/>
      <w:lvlText w:val=""/>
      <w:lvlJc w:val="left"/>
      <w:pPr>
        <w:ind w:left="2160" w:hanging="360"/>
      </w:pPr>
      <w:rPr>
        <w:rFonts w:hint="default" w:ascii="Wingdings" w:hAnsi="Wingdings"/>
      </w:rPr>
    </w:lvl>
    <w:lvl w:ilvl="3" w:tplc="D402086A">
      <w:start w:val="1"/>
      <w:numFmt w:val="bullet"/>
      <w:lvlText w:val=""/>
      <w:lvlJc w:val="left"/>
      <w:pPr>
        <w:ind w:left="2880" w:hanging="360"/>
      </w:pPr>
      <w:rPr>
        <w:rFonts w:hint="default" w:ascii="Symbol" w:hAnsi="Symbol"/>
      </w:rPr>
    </w:lvl>
    <w:lvl w:ilvl="4" w:tplc="2D8E1B26">
      <w:start w:val="1"/>
      <w:numFmt w:val="bullet"/>
      <w:lvlText w:val="o"/>
      <w:lvlJc w:val="left"/>
      <w:pPr>
        <w:ind w:left="3600" w:hanging="360"/>
      </w:pPr>
      <w:rPr>
        <w:rFonts w:hint="default" w:ascii="Courier New" w:hAnsi="Courier New"/>
      </w:rPr>
    </w:lvl>
    <w:lvl w:ilvl="5" w:tplc="FD9CDFB0">
      <w:start w:val="1"/>
      <w:numFmt w:val="bullet"/>
      <w:lvlText w:val=""/>
      <w:lvlJc w:val="left"/>
      <w:pPr>
        <w:ind w:left="4320" w:hanging="360"/>
      </w:pPr>
      <w:rPr>
        <w:rFonts w:hint="default" w:ascii="Wingdings" w:hAnsi="Wingdings"/>
      </w:rPr>
    </w:lvl>
    <w:lvl w:ilvl="6" w:tplc="0816B29A">
      <w:start w:val="1"/>
      <w:numFmt w:val="bullet"/>
      <w:lvlText w:val=""/>
      <w:lvlJc w:val="left"/>
      <w:pPr>
        <w:ind w:left="5040" w:hanging="360"/>
      </w:pPr>
      <w:rPr>
        <w:rFonts w:hint="default" w:ascii="Symbol" w:hAnsi="Symbol"/>
      </w:rPr>
    </w:lvl>
    <w:lvl w:ilvl="7" w:tplc="754693E8">
      <w:start w:val="1"/>
      <w:numFmt w:val="bullet"/>
      <w:lvlText w:val="o"/>
      <w:lvlJc w:val="left"/>
      <w:pPr>
        <w:ind w:left="5760" w:hanging="360"/>
      </w:pPr>
      <w:rPr>
        <w:rFonts w:hint="default" w:ascii="Courier New" w:hAnsi="Courier New"/>
      </w:rPr>
    </w:lvl>
    <w:lvl w:ilvl="8" w:tplc="A6B631F8">
      <w:start w:val="1"/>
      <w:numFmt w:val="bullet"/>
      <w:lvlText w:val=""/>
      <w:lvlJc w:val="left"/>
      <w:pPr>
        <w:ind w:left="6480" w:hanging="360"/>
      </w:pPr>
      <w:rPr>
        <w:rFonts w:hint="default" w:ascii="Wingdings" w:hAnsi="Wingdings"/>
      </w:rPr>
    </w:lvl>
  </w:abstractNum>
  <w:abstractNum w:abstractNumId="23" w15:restartNumberingAfterBreak="0">
    <w:nsid w:val="5F5F8B02"/>
    <w:multiLevelType w:val="hybridMultilevel"/>
    <w:tmpl w:val="3EB052DC"/>
    <w:lvl w:ilvl="0" w:tplc="55D8AABE">
      <w:start w:val="1"/>
      <w:numFmt w:val="bullet"/>
      <w:lvlText w:val="Ø"/>
      <w:lvlJc w:val="left"/>
      <w:pPr>
        <w:ind w:left="720" w:hanging="360"/>
      </w:pPr>
      <w:rPr>
        <w:rFonts w:hint="default" w:ascii="Wingdings" w:hAnsi="Wingdings"/>
      </w:rPr>
    </w:lvl>
    <w:lvl w:ilvl="1" w:tplc="C2BE6E60">
      <w:start w:val="1"/>
      <w:numFmt w:val="bullet"/>
      <w:lvlText w:val="o"/>
      <w:lvlJc w:val="left"/>
      <w:pPr>
        <w:ind w:left="1440" w:hanging="360"/>
      </w:pPr>
      <w:rPr>
        <w:rFonts w:hint="default" w:ascii="Courier New" w:hAnsi="Courier New"/>
      </w:rPr>
    </w:lvl>
    <w:lvl w:ilvl="2" w:tplc="B206412C">
      <w:start w:val="1"/>
      <w:numFmt w:val="bullet"/>
      <w:lvlText w:val=""/>
      <w:lvlJc w:val="left"/>
      <w:pPr>
        <w:ind w:left="2160" w:hanging="360"/>
      </w:pPr>
      <w:rPr>
        <w:rFonts w:hint="default" w:ascii="Wingdings" w:hAnsi="Wingdings"/>
      </w:rPr>
    </w:lvl>
    <w:lvl w:ilvl="3" w:tplc="9D961EE4">
      <w:start w:val="1"/>
      <w:numFmt w:val="bullet"/>
      <w:lvlText w:val=""/>
      <w:lvlJc w:val="left"/>
      <w:pPr>
        <w:ind w:left="2880" w:hanging="360"/>
      </w:pPr>
      <w:rPr>
        <w:rFonts w:hint="default" w:ascii="Symbol" w:hAnsi="Symbol"/>
      </w:rPr>
    </w:lvl>
    <w:lvl w:ilvl="4" w:tplc="8A14BEB2">
      <w:start w:val="1"/>
      <w:numFmt w:val="bullet"/>
      <w:lvlText w:val="o"/>
      <w:lvlJc w:val="left"/>
      <w:pPr>
        <w:ind w:left="3600" w:hanging="360"/>
      </w:pPr>
      <w:rPr>
        <w:rFonts w:hint="default" w:ascii="Courier New" w:hAnsi="Courier New"/>
      </w:rPr>
    </w:lvl>
    <w:lvl w:ilvl="5" w:tplc="5A9478B6">
      <w:start w:val="1"/>
      <w:numFmt w:val="bullet"/>
      <w:lvlText w:val=""/>
      <w:lvlJc w:val="left"/>
      <w:pPr>
        <w:ind w:left="4320" w:hanging="360"/>
      </w:pPr>
      <w:rPr>
        <w:rFonts w:hint="default" w:ascii="Wingdings" w:hAnsi="Wingdings"/>
      </w:rPr>
    </w:lvl>
    <w:lvl w:ilvl="6" w:tplc="5E36A602">
      <w:start w:val="1"/>
      <w:numFmt w:val="bullet"/>
      <w:lvlText w:val=""/>
      <w:lvlJc w:val="left"/>
      <w:pPr>
        <w:ind w:left="5040" w:hanging="360"/>
      </w:pPr>
      <w:rPr>
        <w:rFonts w:hint="default" w:ascii="Symbol" w:hAnsi="Symbol"/>
      </w:rPr>
    </w:lvl>
    <w:lvl w:ilvl="7" w:tplc="2D42C3C2">
      <w:start w:val="1"/>
      <w:numFmt w:val="bullet"/>
      <w:lvlText w:val="o"/>
      <w:lvlJc w:val="left"/>
      <w:pPr>
        <w:ind w:left="5760" w:hanging="360"/>
      </w:pPr>
      <w:rPr>
        <w:rFonts w:hint="default" w:ascii="Courier New" w:hAnsi="Courier New"/>
      </w:rPr>
    </w:lvl>
    <w:lvl w:ilvl="8" w:tplc="66543430">
      <w:start w:val="1"/>
      <w:numFmt w:val="bullet"/>
      <w:lvlText w:val=""/>
      <w:lvlJc w:val="left"/>
      <w:pPr>
        <w:ind w:left="6480" w:hanging="360"/>
      </w:pPr>
      <w:rPr>
        <w:rFonts w:hint="default" w:ascii="Wingdings" w:hAnsi="Wingdings"/>
      </w:rPr>
    </w:lvl>
  </w:abstractNum>
  <w:abstractNum w:abstractNumId="24" w15:restartNumberingAfterBreak="0">
    <w:nsid w:val="6FE51D4B"/>
    <w:multiLevelType w:val="hybridMultilevel"/>
    <w:tmpl w:val="590A4850"/>
    <w:lvl w:ilvl="0" w:tplc="B7EC46EC">
      <w:start w:val="1"/>
      <w:numFmt w:val="bullet"/>
      <w:lvlText w:val=""/>
      <w:lvlJc w:val="left"/>
      <w:pPr>
        <w:ind w:left="720" w:hanging="360"/>
      </w:pPr>
      <w:rPr>
        <w:rFonts w:hint="default" w:ascii="Symbol" w:hAnsi="Symbol"/>
      </w:rPr>
    </w:lvl>
    <w:lvl w:ilvl="1" w:tplc="3A20479A">
      <w:start w:val="1"/>
      <w:numFmt w:val="bullet"/>
      <w:lvlText w:val="o"/>
      <w:lvlJc w:val="left"/>
      <w:pPr>
        <w:ind w:left="1440" w:hanging="360"/>
      </w:pPr>
      <w:rPr>
        <w:rFonts w:hint="default" w:ascii="Courier New" w:hAnsi="Courier New"/>
      </w:rPr>
    </w:lvl>
    <w:lvl w:ilvl="2" w:tplc="3D4ACA42">
      <w:start w:val="1"/>
      <w:numFmt w:val="bullet"/>
      <w:lvlText w:val=""/>
      <w:lvlJc w:val="left"/>
      <w:pPr>
        <w:ind w:left="2160" w:hanging="360"/>
      </w:pPr>
      <w:rPr>
        <w:rFonts w:hint="default" w:ascii="Wingdings" w:hAnsi="Wingdings"/>
      </w:rPr>
    </w:lvl>
    <w:lvl w:ilvl="3" w:tplc="0194C490">
      <w:start w:val="1"/>
      <w:numFmt w:val="bullet"/>
      <w:lvlText w:val=""/>
      <w:lvlJc w:val="left"/>
      <w:pPr>
        <w:ind w:left="2880" w:hanging="360"/>
      </w:pPr>
      <w:rPr>
        <w:rFonts w:hint="default" w:ascii="Symbol" w:hAnsi="Symbol"/>
      </w:rPr>
    </w:lvl>
    <w:lvl w:ilvl="4" w:tplc="528C3A34">
      <w:start w:val="1"/>
      <w:numFmt w:val="bullet"/>
      <w:lvlText w:val="o"/>
      <w:lvlJc w:val="left"/>
      <w:pPr>
        <w:ind w:left="3600" w:hanging="360"/>
      </w:pPr>
      <w:rPr>
        <w:rFonts w:hint="default" w:ascii="Courier New" w:hAnsi="Courier New"/>
      </w:rPr>
    </w:lvl>
    <w:lvl w:ilvl="5" w:tplc="68A28866">
      <w:start w:val="1"/>
      <w:numFmt w:val="bullet"/>
      <w:lvlText w:val=""/>
      <w:lvlJc w:val="left"/>
      <w:pPr>
        <w:ind w:left="4320" w:hanging="360"/>
      </w:pPr>
      <w:rPr>
        <w:rFonts w:hint="default" w:ascii="Wingdings" w:hAnsi="Wingdings"/>
      </w:rPr>
    </w:lvl>
    <w:lvl w:ilvl="6" w:tplc="32B807B2">
      <w:start w:val="1"/>
      <w:numFmt w:val="bullet"/>
      <w:lvlText w:val=""/>
      <w:lvlJc w:val="left"/>
      <w:pPr>
        <w:ind w:left="5040" w:hanging="360"/>
      </w:pPr>
      <w:rPr>
        <w:rFonts w:hint="default" w:ascii="Symbol" w:hAnsi="Symbol"/>
      </w:rPr>
    </w:lvl>
    <w:lvl w:ilvl="7" w:tplc="864236CC">
      <w:start w:val="1"/>
      <w:numFmt w:val="bullet"/>
      <w:lvlText w:val="o"/>
      <w:lvlJc w:val="left"/>
      <w:pPr>
        <w:ind w:left="5760" w:hanging="360"/>
      </w:pPr>
      <w:rPr>
        <w:rFonts w:hint="default" w:ascii="Courier New" w:hAnsi="Courier New"/>
      </w:rPr>
    </w:lvl>
    <w:lvl w:ilvl="8" w:tplc="A97A16C0">
      <w:start w:val="1"/>
      <w:numFmt w:val="bullet"/>
      <w:lvlText w:val=""/>
      <w:lvlJc w:val="left"/>
      <w:pPr>
        <w:ind w:left="6480" w:hanging="360"/>
      </w:pPr>
      <w:rPr>
        <w:rFonts w:hint="default" w:ascii="Wingdings" w:hAnsi="Wingdings"/>
      </w:rPr>
    </w:lvl>
  </w:abstractNum>
  <w:abstractNum w:abstractNumId="25" w15:restartNumberingAfterBreak="0">
    <w:nsid w:val="76A9344C"/>
    <w:multiLevelType w:val="hybridMultilevel"/>
    <w:tmpl w:val="120E2668"/>
    <w:lvl w:ilvl="0" w:tplc="BE8484A0">
      <w:start w:val="1"/>
      <w:numFmt w:val="bullet"/>
      <w:lvlText w:val="Ø"/>
      <w:lvlJc w:val="left"/>
      <w:pPr>
        <w:ind w:left="720" w:hanging="360"/>
      </w:pPr>
      <w:rPr>
        <w:rFonts w:hint="default" w:ascii="Wingdings" w:hAnsi="Wingdings"/>
      </w:rPr>
    </w:lvl>
    <w:lvl w:ilvl="1" w:tplc="864EE706">
      <w:start w:val="1"/>
      <w:numFmt w:val="bullet"/>
      <w:lvlText w:val="o"/>
      <w:lvlJc w:val="left"/>
      <w:pPr>
        <w:ind w:left="1440" w:hanging="360"/>
      </w:pPr>
      <w:rPr>
        <w:rFonts w:hint="default" w:ascii="Courier New" w:hAnsi="Courier New"/>
      </w:rPr>
    </w:lvl>
    <w:lvl w:ilvl="2" w:tplc="5C6AEA58">
      <w:start w:val="1"/>
      <w:numFmt w:val="bullet"/>
      <w:lvlText w:val=""/>
      <w:lvlJc w:val="left"/>
      <w:pPr>
        <w:ind w:left="2160" w:hanging="360"/>
      </w:pPr>
      <w:rPr>
        <w:rFonts w:hint="default" w:ascii="Wingdings" w:hAnsi="Wingdings"/>
      </w:rPr>
    </w:lvl>
    <w:lvl w:ilvl="3" w:tplc="D3BEA51C">
      <w:start w:val="1"/>
      <w:numFmt w:val="bullet"/>
      <w:lvlText w:val=""/>
      <w:lvlJc w:val="left"/>
      <w:pPr>
        <w:ind w:left="2880" w:hanging="360"/>
      </w:pPr>
      <w:rPr>
        <w:rFonts w:hint="default" w:ascii="Symbol" w:hAnsi="Symbol"/>
      </w:rPr>
    </w:lvl>
    <w:lvl w:ilvl="4" w:tplc="CFAEF9DA">
      <w:start w:val="1"/>
      <w:numFmt w:val="bullet"/>
      <w:lvlText w:val="o"/>
      <w:lvlJc w:val="left"/>
      <w:pPr>
        <w:ind w:left="3600" w:hanging="360"/>
      </w:pPr>
      <w:rPr>
        <w:rFonts w:hint="default" w:ascii="Courier New" w:hAnsi="Courier New"/>
      </w:rPr>
    </w:lvl>
    <w:lvl w:ilvl="5" w:tplc="DAEABB24">
      <w:start w:val="1"/>
      <w:numFmt w:val="bullet"/>
      <w:lvlText w:val=""/>
      <w:lvlJc w:val="left"/>
      <w:pPr>
        <w:ind w:left="4320" w:hanging="360"/>
      </w:pPr>
      <w:rPr>
        <w:rFonts w:hint="default" w:ascii="Wingdings" w:hAnsi="Wingdings"/>
      </w:rPr>
    </w:lvl>
    <w:lvl w:ilvl="6" w:tplc="E8AEFAC8">
      <w:start w:val="1"/>
      <w:numFmt w:val="bullet"/>
      <w:lvlText w:val=""/>
      <w:lvlJc w:val="left"/>
      <w:pPr>
        <w:ind w:left="5040" w:hanging="360"/>
      </w:pPr>
      <w:rPr>
        <w:rFonts w:hint="default" w:ascii="Symbol" w:hAnsi="Symbol"/>
      </w:rPr>
    </w:lvl>
    <w:lvl w:ilvl="7" w:tplc="553673E6">
      <w:start w:val="1"/>
      <w:numFmt w:val="bullet"/>
      <w:lvlText w:val="o"/>
      <w:lvlJc w:val="left"/>
      <w:pPr>
        <w:ind w:left="5760" w:hanging="360"/>
      </w:pPr>
      <w:rPr>
        <w:rFonts w:hint="default" w:ascii="Courier New" w:hAnsi="Courier New"/>
      </w:rPr>
    </w:lvl>
    <w:lvl w:ilvl="8" w:tplc="C5028FDA">
      <w:start w:val="1"/>
      <w:numFmt w:val="bullet"/>
      <w:lvlText w:val=""/>
      <w:lvlJc w:val="left"/>
      <w:pPr>
        <w:ind w:left="6480" w:hanging="360"/>
      </w:pPr>
      <w:rPr>
        <w:rFonts w:hint="default" w:ascii="Wingdings" w:hAnsi="Wingdings"/>
      </w:rPr>
    </w:lvl>
  </w:abstractNum>
  <w:abstractNum w:abstractNumId="26" w15:restartNumberingAfterBreak="0">
    <w:nsid w:val="793C137B"/>
    <w:multiLevelType w:val="hybridMultilevel"/>
    <w:tmpl w:val="6C243F4A"/>
    <w:lvl w:ilvl="0" w:tplc="56CC2310">
      <w:start w:val="1"/>
      <w:numFmt w:val="bullet"/>
      <w:lvlText w:val="Ø"/>
      <w:lvlJc w:val="left"/>
      <w:pPr>
        <w:ind w:left="720" w:hanging="360"/>
      </w:pPr>
      <w:rPr>
        <w:rFonts w:hint="default" w:ascii="Wingdings" w:hAnsi="Wingdings"/>
      </w:rPr>
    </w:lvl>
    <w:lvl w:ilvl="1" w:tplc="A6D61272">
      <w:start w:val="1"/>
      <w:numFmt w:val="bullet"/>
      <w:lvlText w:val="o"/>
      <w:lvlJc w:val="left"/>
      <w:pPr>
        <w:ind w:left="1440" w:hanging="360"/>
      </w:pPr>
      <w:rPr>
        <w:rFonts w:hint="default" w:ascii="Courier New" w:hAnsi="Courier New"/>
      </w:rPr>
    </w:lvl>
    <w:lvl w:ilvl="2" w:tplc="125EDD82">
      <w:start w:val="1"/>
      <w:numFmt w:val="bullet"/>
      <w:lvlText w:val=""/>
      <w:lvlJc w:val="left"/>
      <w:pPr>
        <w:ind w:left="2160" w:hanging="360"/>
      </w:pPr>
      <w:rPr>
        <w:rFonts w:hint="default" w:ascii="Wingdings" w:hAnsi="Wingdings"/>
      </w:rPr>
    </w:lvl>
    <w:lvl w:ilvl="3" w:tplc="4AA63A1A">
      <w:start w:val="1"/>
      <w:numFmt w:val="bullet"/>
      <w:lvlText w:val=""/>
      <w:lvlJc w:val="left"/>
      <w:pPr>
        <w:ind w:left="2880" w:hanging="360"/>
      </w:pPr>
      <w:rPr>
        <w:rFonts w:hint="default" w:ascii="Symbol" w:hAnsi="Symbol"/>
      </w:rPr>
    </w:lvl>
    <w:lvl w:ilvl="4" w:tplc="44C4A50A">
      <w:start w:val="1"/>
      <w:numFmt w:val="bullet"/>
      <w:lvlText w:val="o"/>
      <w:lvlJc w:val="left"/>
      <w:pPr>
        <w:ind w:left="3600" w:hanging="360"/>
      </w:pPr>
      <w:rPr>
        <w:rFonts w:hint="default" w:ascii="Courier New" w:hAnsi="Courier New"/>
      </w:rPr>
    </w:lvl>
    <w:lvl w:ilvl="5" w:tplc="1B0CD9D8">
      <w:start w:val="1"/>
      <w:numFmt w:val="bullet"/>
      <w:lvlText w:val=""/>
      <w:lvlJc w:val="left"/>
      <w:pPr>
        <w:ind w:left="4320" w:hanging="360"/>
      </w:pPr>
      <w:rPr>
        <w:rFonts w:hint="default" w:ascii="Wingdings" w:hAnsi="Wingdings"/>
      </w:rPr>
    </w:lvl>
    <w:lvl w:ilvl="6" w:tplc="C42A085C">
      <w:start w:val="1"/>
      <w:numFmt w:val="bullet"/>
      <w:lvlText w:val=""/>
      <w:lvlJc w:val="left"/>
      <w:pPr>
        <w:ind w:left="5040" w:hanging="360"/>
      </w:pPr>
      <w:rPr>
        <w:rFonts w:hint="default" w:ascii="Symbol" w:hAnsi="Symbol"/>
      </w:rPr>
    </w:lvl>
    <w:lvl w:ilvl="7" w:tplc="F92222C4">
      <w:start w:val="1"/>
      <w:numFmt w:val="bullet"/>
      <w:lvlText w:val="o"/>
      <w:lvlJc w:val="left"/>
      <w:pPr>
        <w:ind w:left="5760" w:hanging="360"/>
      </w:pPr>
      <w:rPr>
        <w:rFonts w:hint="default" w:ascii="Courier New" w:hAnsi="Courier New"/>
      </w:rPr>
    </w:lvl>
    <w:lvl w:ilvl="8" w:tplc="2506DAE6">
      <w:start w:val="1"/>
      <w:numFmt w:val="bullet"/>
      <w:lvlText w:val=""/>
      <w:lvlJc w:val="left"/>
      <w:pPr>
        <w:ind w:left="6480" w:hanging="360"/>
      </w:pPr>
      <w:rPr>
        <w:rFonts w:hint="default" w:ascii="Wingdings" w:hAnsi="Wingdings"/>
      </w:rPr>
    </w:lvl>
  </w:abstractNum>
  <w:abstractNum w:abstractNumId="27" w15:restartNumberingAfterBreak="0">
    <w:nsid w:val="79F200A5"/>
    <w:multiLevelType w:val="hybridMultilevel"/>
    <w:tmpl w:val="F0768E7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16cid:durableId="373968353">
    <w:abstractNumId w:val="22"/>
  </w:num>
  <w:num w:numId="2" w16cid:durableId="1576741916">
    <w:abstractNumId w:val="23"/>
  </w:num>
  <w:num w:numId="3" w16cid:durableId="1505363498">
    <w:abstractNumId w:val="19"/>
  </w:num>
  <w:num w:numId="4" w16cid:durableId="1140927370">
    <w:abstractNumId w:val="4"/>
  </w:num>
  <w:num w:numId="5" w16cid:durableId="1425373076">
    <w:abstractNumId w:val="16"/>
  </w:num>
  <w:num w:numId="6" w16cid:durableId="821390821">
    <w:abstractNumId w:val="11"/>
  </w:num>
  <w:num w:numId="7" w16cid:durableId="1872721563">
    <w:abstractNumId w:val="13"/>
  </w:num>
  <w:num w:numId="8" w16cid:durableId="680087040">
    <w:abstractNumId w:val="14"/>
  </w:num>
  <w:num w:numId="9" w16cid:durableId="1635909694">
    <w:abstractNumId w:val="18"/>
  </w:num>
  <w:num w:numId="10" w16cid:durableId="875198578">
    <w:abstractNumId w:val="7"/>
  </w:num>
  <w:num w:numId="11" w16cid:durableId="1355958447">
    <w:abstractNumId w:val="25"/>
  </w:num>
  <w:num w:numId="12" w16cid:durableId="2103597779">
    <w:abstractNumId w:val="20"/>
  </w:num>
  <w:num w:numId="13" w16cid:durableId="46616141">
    <w:abstractNumId w:val="21"/>
  </w:num>
  <w:num w:numId="14" w16cid:durableId="1161195087">
    <w:abstractNumId w:val="2"/>
  </w:num>
  <w:num w:numId="15" w16cid:durableId="730271021">
    <w:abstractNumId w:val="6"/>
  </w:num>
  <w:num w:numId="16" w16cid:durableId="1126922851">
    <w:abstractNumId w:val="26"/>
  </w:num>
  <w:num w:numId="17" w16cid:durableId="497188236">
    <w:abstractNumId w:val="17"/>
  </w:num>
  <w:num w:numId="18" w16cid:durableId="1074471093">
    <w:abstractNumId w:val="15"/>
  </w:num>
  <w:num w:numId="19" w16cid:durableId="395708118">
    <w:abstractNumId w:val="24"/>
  </w:num>
  <w:num w:numId="20" w16cid:durableId="1449081146">
    <w:abstractNumId w:val="0"/>
  </w:num>
  <w:num w:numId="21" w16cid:durableId="1306549568">
    <w:abstractNumId w:val="1"/>
  </w:num>
  <w:num w:numId="22" w16cid:durableId="1666934881">
    <w:abstractNumId w:val="3"/>
  </w:num>
  <w:num w:numId="23" w16cid:durableId="91125233">
    <w:abstractNumId w:val="9"/>
  </w:num>
  <w:num w:numId="24" w16cid:durableId="1637562064">
    <w:abstractNumId w:val="27"/>
  </w:num>
  <w:num w:numId="25" w16cid:durableId="492373700">
    <w:abstractNumId w:val="10"/>
  </w:num>
  <w:num w:numId="26" w16cid:durableId="582498467">
    <w:abstractNumId w:val="5"/>
  </w:num>
  <w:num w:numId="27" w16cid:durableId="1175457897">
    <w:abstractNumId w:val="12"/>
  </w:num>
  <w:num w:numId="28" w16cid:durableId="1769227115">
    <w:abstractNumId w:val="8"/>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hideGrammaticalErrors/>
  <w:activeWritingStyle w:lang="en-IE" w:vendorID="64" w:dllVersion="0" w:nlCheck="1" w:checkStyle="0" w:appName="MSWord"/>
  <w:proofState w:spelling="clean" w:grammar="dirty"/>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17A1"/>
    <w:rsid w:val="00012A18"/>
    <w:rsid w:val="000132F1"/>
    <w:rsid w:val="00013349"/>
    <w:rsid w:val="00014760"/>
    <w:rsid w:val="00014A39"/>
    <w:rsid w:val="000154B3"/>
    <w:rsid w:val="000157F5"/>
    <w:rsid w:val="000174CE"/>
    <w:rsid w:val="00023541"/>
    <w:rsid w:val="00023DC1"/>
    <w:rsid w:val="00024CE5"/>
    <w:rsid w:val="0003177A"/>
    <w:rsid w:val="000322DF"/>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3831"/>
    <w:rsid w:val="00084FC8"/>
    <w:rsid w:val="0009172A"/>
    <w:rsid w:val="00091BF0"/>
    <w:rsid w:val="0009262E"/>
    <w:rsid w:val="00094092"/>
    <w:rsid w:val="000942F1"/>
    <w:rsid w:val="00094B8B"/>
    <w:rsid w:val="00096BEB"/>
    <w:rsid w:val="00096F61"/>
    <w:rsid w:val="000973A1"/>
    <w:rsid w:val="000A0DA3"/>
    <w:rsid w:val="000A2EBA"/>
    <w:rsid w:val="000A448D"/>
    <w:rsid w:val="000A4B34"/>
    <w:rsid w:val="000A4D1B"/>
    <w:rsid w:val="000A738F"/>
    <w:rsid w:val="000B404C"/>
    <w:rsid w:val="000B7FD6"/>
    <w:rsid w:val="000C32EB"/>
    <w:rsid w:val="000C44AB"/>
    <w:rsid w:val="000C6897"/>
    <w:rsid w:val="000D04AD"/>
    <w:rsid w:val="000D0B5F"/>
    <w:rsid w:val="000D1123"/>
    <w:rsid w:val="000D3894"/>
    <w:rsid w:val="000D45F3"/>
    <w:rsid w:val="000D4B57"/>
    <w:rsid w:val="000D6BF4"/>
    <w:rsid w:val="000D6C0B"/>
    <w:rsid w:val="000D6DD1"/>
    <w:rsid w:val="000E2048"/>
    <w:rsid w:val="000E46EB"/>
    <w:rsid w:val="000F2B70"/>
    <w:rsid w:val="000F5331"/>
    <w:rsid w:val="000F587D"/>
    <w:rsid w:val="000F5FA9"/>
    <w:rsid w:val="000F6153"/>
    <w:rsid w:val="000F6F33"/>
    <w:rsid w:val="000F70A1"/>
    <w:rsid w:val="00100ADC"/>
    <w:rsid w:val="00101424"/>
    <w:rsid w:val="001019EC"/>
    <w:rsid w:val="001131A3"/>
    <w:rsid w:val="0011509D"/>
    <w:rsid w:val="001163B8"/>
    <w:rsid w:val="00116AB3"/>
    <w:rsid w:val="00116AF0"/>
    <w:rsid w:val="00117487"/>
    <w:rsid w:val="001206B9"/>
    <w:rsid w:val="0012099C"/>
    <w:rsid w:val="001216B4"/>
    <w:rsid w:val="00122715"/>
    <w:rsid w:val="001252E3"/>
    <w:rsid w:val="001255D2"/>
    <w:rsid w:val="00126055"/>
    <w:rsid w:val="001320F7"/>
    <w:rsid w:val="00132D08"/>
    <w:rsid w:val="00132E30"/>
    <w:rsid w:val="0013307E"/>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A3401"/>
    <w:rsid w:val="001A5490"/>
    <w:rsid w:val="001A5890"/>
    <w:rsid w:val="001A6087"/>
    <w:rsid w:val="001A6186"/>
    <w:rsid w:val="001A7F6F"/>
    <w:rsid w:val="001B054C"/>
    <w:rsid w:val="001B5DC1"/>
    <w:rsid w:val="001B637C"/>
    <w:rsid w:val="001B6F7A"/>
    <w:rsid w:val="001C037B"/>
    <w:rsid w:val="001C1395"/>
    <w:rsid w:val="001C1A50"/>
    <w:rsid w:val="001C1AF1"/>
    <w:rsid w:val="001C1E82"/>
    <w:rsid w:val="001C665E"/>
    <w:rsid w:val="001C77D2"/>
    <w:rsid w:val="001D1D46"/>
    <w:rsid w:val="001D236D"/>
    <w:rsid w:val="001D2753"/>
    <w:rsid w:val="001D3BDC"/>
    <w:rsid w:val="001D3C7A"/>
    <w:rsid w:val="001D3EFB"/>
    <w:rsid w:val="001D4F26"/>
    <w:rsid w:val="001D7547"/>
    <w:rsid w:val="001D7F8E"/>
    <w:rsid w:val="001E181C"/>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0698"/>
    <w:rsid w:val="0020465C"/>
    <w:rsid w:val="00204EF1"/>
    <w:rsid w:val="002061F2"/>
    <w:rsid w:val="00206D17"/>
    <w:rsid w:val="00207B72"/>
    <w:rsid w:val="0021005C"/>
    <w:rsid w:val="0021292B"/>
    <w:rsid w:val="0021368F"/>
    <w:rsid w:val="0021475A"/>
    <w:rsid w:val="00215880"/>
    <w:rsid w:val="002163B9"/>
    <w:rsid w:val="002205E0"/>
    <w:rsid w:val="00220F6E"/>
    <w:rsid w:val="00221421"/>
    <w:rsid w:val="00221588"/>
    <w:rsid w:val="00222A95"/>
    <w:rsid w:val="00224821"/>
    <w:rsid w:val="0022555D"/>
    <w:rsid w:val="00227DC2"/>
    <w:rsid w:val="00227E77"/>
    <w:rsid w:val="0023099E"/>
    <w:rsid w:val="00230C6F"/>
    <w:rsid w:val="0023383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2671"/>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4E70"/>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8BE"/>
    <w:rsid w:val="00305C1D"/>
    <w:rsid w:val="00311CE0"/>
    <w:rsid w:val="00314BF7"/>
    <w:rsid w:val="003160AB"/>
    <w:rsid w:val="00321818"/>
    <w:rsid w:val="003232DC"/>
    <w:rsid w:val="003234D6"/>
    <w:rsid w:val="00323AEE"/>
    <w:rsid w:val="003276DD"/>
    <w:rsid w:val="00331E90"/>
    <w:rsid w:val="0033389C"/>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3CEE"/>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33A1"/>
    <w:rsid w:val="00493BC1"/>
    <w:rsid w:val="00494568"/>
    <w:rsid w:val="004951CD"/>
    <w:rsid w:val="0049536E"/>
    <w:rsid w:val="00495854"/>
    <w:rsid w:val="00496E5B"/>
    <w:rsid w:val="004A5D49"/>
    <w:rsid w:val="004A6790"/>
    <w:rsid w:val="004A71AD"/>
    <w:rsid w:val="004A7EEF"/>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14F4"/>
    <w:rsid w:val="004E2B1F"/>
    <w:rsid w:val="004E454D"/>
    <w:rsid w:val="004E52A6"/>
    <w:rsid w:val="004E57C2"/>
    <w:rsid w:val="004E7E15"/>
    <w:rsid w:val="004F34DD"/>
    <w:rsid w:val="004F4AA5"/>
    <w:rsid w:val="004F4E50"/>
    <w:rsid w:val="004F6406"/>
    <w:rsid w:val="004F651E"/>
    <w:rsid w:val="00505D0B"/>
    <w:rsid w:val="005157F8"/>
    <w:rsid w:val="00516866"/>
    <w:rsid w:val="00516BEC"/>
    <w:rsid w:val="005173BA"/>
    <w:rsid w:val="00520329"/>
    <w:rsid w:val="005240DC"/>
    <w:rsid w:val="00524683"/>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82"/>
    <w:rsid w:val="005905ED"/>
    <w:rsid w:val="00590E15"/>
    <w:rsid w:val="00594545"/>
    <w:rsid w:val="00595CD1"/>
    <w:rsid w:val="0059688D"/>
    <w:rsid w:val="00597358"/>
    <w:rsid w:val="005977EB"/>
    <w:rsid w:val="0059783C"/>
    <w:rsid w:val="005A076A"/>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52E"/>
    <w:rsid w:val="00632A66"/>
    <w:rsid w:val="006341EB"/>
    <w:rsid w:val="006376B1"/>
    <w:rsid w:val="0063771F"/>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0A0B"/>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3E9B"/>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318"/>
    <w:rsid w:val="006E1975"/>
    <w:rsid w:val="006E428F"/>
    <w:rsid w:val="006E4333"/>
    <w:rsid w:val="006E56A3"/>
    <w:rsid w:val="006F71E9"/>
    <w:rsid w:val="006F78DB"/>
    <w:rsid w:val="006F7CA3"/>
    <w:rsid w:val="00701309"/>
    <w:rsid w:val="00702E31"/>
    <w:rsid w:val="00702E51"/>
    <w:rsid w:val="0070397E"/>
    <w:rsid w:val="00705511"/>
    <w:rsid w:val="00710A62"/>
    <w:rsid w:val="00712187"/>
    <w:rsid w:val="00712AE9"/>
    <w:rsid w:val="00713D0E"/>
    <w:rsid w:val="00715F7A"/>
    <w:rsid w:val="00716A97"/>
    <w:rsid w:val="0072062A"/>
    <w:rsid w:val="0072083D"/>
    <w:rsid w:val="0072214D"/>
    <w:rsid w:val="0072284C"/>
    <w:rsid w:val="00724040"/>
    <w:rsid w:val="00727CF7"/>
    <w:rsid w:val="00730990"/>
    <w:rsid w:val="00731C5C"/>
    <w:rsid w:val="007322FB"/>
    <w:rsid w:val="00732F63"/>
    <w:rsid w:val="007350A7"/>
    <w:rsid w:val="00736EE0"/>
    <w:rsid w:val="00737BA1"/>
    <w:rsid w:val="00740E67"/>
    <w:rsid w:val="00743075"/>
    <w:rsid w:val="007438C2"/>
    <w:rsid w:val="00743D25"/>
    <w:rsid w:val="00744808"/>
    <w:rsid w:val="00745C22"/>
    <w:rsid w:val="0074601C"/>
    <w:rsid w:val="00746368"/>
    <w:rsid w:val="00746454"/>
    <w:rsid w:val="00746AAD"/>
    <w:rsid w:val="00746E21"/>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B8C"/>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25958"/>
    <w:rsid w:val="00830711"/>
    <w:rsid w:val="00830BB0"/>
    <w:rsid w:val="008310D4"/>
    <w:rsid w:val="0083167B"/>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2E3C"/>
    <w:rsid w:val="0087347C"/>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18E4"/>
    <w:rsid w:val="008B2903"/>
    <w:rsid w:val="008B4913"/>
    <w:rsid w:val="008B4D38"/>
    <w:rsid w:val="008B4FC2"/>
    <w:rsid w:val="008B61ED"/>
    <w:rsid w:val="008B65EF"/>
    <w:rsid w:val="008B704E"/>
    <w:rsid w:val="008C0382"/>
    <w:rsid w:val="008C0885"/>
    <w:rsid w:val="008C0B04"/>
    <w:rsid w:val="008C447C"/>
    <w:rsid w:val="008C6389"/>
    <w:rsid w:val="008D076D"/>
    <w:rsid w:val="008D2382"/>
    <w:rsid w:val="008D28BD"/>
    <w:rsid w:val="008D418F"/>
    <w:rsid w:val="008D4307"/>
    <w:rsid w:val="008D5795"/>
    <w:rsid w:val="008D610B"/>
    <w:rsid w:val="008D7916"/>
    <w:rsid w:val="008E22FF"/>
    <w:rsid w:val="008E2B03"/>
    <w:rsid w:val="008E2EB1"/>
    <w:rsid w:val="008E434A"/>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26E1"/>
    <w:rsid w:val="00956276"/>
    <w:rsid w:val="009578F9"/>
    <w:rsid w:val="0096542B"/>
    <w:rsid w:val="00967EED"/>
    <w:rsid w:val="00970B20"/>
    <w:rsid w:val="00976D05"/>
    <w:rsid w:val="00977F82"/>
    <w:rsid w:val="009802CA"/>
    <w:rsid w:val="00981719"/>
    <w:rsid w:val="00984F90"/>
    <w:rsid w:val="0098615E"/>
    <w:rsid w:val="00987E64"/>
    <w:rsid w:val="009925F3"/>
    <w:rsid w:val="009929AA"/>
    <w:rsid w:val="009931B7"/>
    <w:rsid w:val="00993719"/>
    <w:rsid w:val="009947CA"/>
    <w:rsid w:val="00994D94"/>
    <w:rsid w:val="00995A66"/>
    <w:rsid w:val="00996B6A"/>
    <w:rsid w:val="00996D78"/>
    <w:rsid w:val="009977CB"/>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0EA"/>
    <w:rsid w:val="009E2229"/>
    <w:rsid w:val="009E2675"/>
    <w:rsid w:val="009E4557"/>
    <w:rsid w:val="009E460B"/>
    <w:rsid w:val="009E503F"/>
    <w:rsid w:val="009E6965"/>
    <w:rsid w:val="009E7C7E"/>
    <w:rsid w:val="009F2992"/>
    <w:rsid w:val="009F3880"/>
    <w:rsid w:val="009F5513"/>
    <w:rsid w:val="009F634A"/>
    <w:rsid w:val="009F70D2"/>
    <w:rsid w:val="009F7528"/>
    <w:rsid w:val="00A00037"/>
    <w:rsid w:val="00A0452A"/>
    <w:rsid w:val="00A05A6C"/>
    <w:rsid w:val="00A06770"/>
    <w:rsid w:val="00A11909"/>
    <w:rsid w:val="00A141AD"/>
    <w:rsid w:val="00A16CF1"/>
    <w:rsid w:val="00A17041"/>
    <w:rsid w:val="00A22445"/>
    <w:rsid w:val="00A23570"/>
    <w:rsid w:val="00A2465A"/>
    <w:rsid w:val="00A25BB1"/>
    <w:rsid w:val="00A25F70"/>
    <w:rsid w:val="00A25FD6"/>
    <w:rsid w:val="00A272E5"/>
    <w:rsid w:val="00A277CD"/>
    <w:rsid w:val="00A27CA1"/>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B0E"/>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4994"/>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C6725"/>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F42"/>
    <w:rsid w:val="00B129DF"/>
    <w:rsid w:val="00B16B11"/>
    <w:rsid w:val="00B201D4"/>
    <w:rsid w:val="00B22BF7"/>
    <w:rsid w:val="00B24BD7"/>
    <w:rsid w:val="00B264D6"/>
    <w:rsid w:val="00B3077A"/>
    <w:rsid w:val="00B309A5"/>
    <w:rsid w:val="00B30FE7"/>
    <w:rsid w:val="00B3237A"/>
    <w:rsid w:val="00B336BD"/>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6FBA"/>
    <w:rsid w:val="00B67A96"/>
    <w:rsid w:val="00B710CE"/>
    <w:rsid w:val="00B71986"/>
    <w:rsid w:val="00B74194"/>
    <w:rsid w:val="00B75153"/>
    <w:rsid w:val="00B76379"/>
    <w:rsid w:val="00B763F5"/>
    <w:rsid w:val="00B7680D"/>
    <w:rsid w:val="00B778EC"/>
    <w:rsid w:val="00B804CC"/>
    <w:rsid w:val="00B80F12"/>
    <w:rsid w:val="00B81D6E"/>
    <w:rsid w:val="00B83292"/>
    <w:rsid w:val="00B868AE"/>
    <w:rsid w:val="00B86C55"/>
    <w:rsid w:val="00B917C5"/>
    <w:rsid w:val="00B9181D"/>
    <w:rsid w:val="00B94B61"/>
    <w:rsid w:val="00B94D62"/>
    <w:rsid w:val="00B974EB"/>
    <w:rsid w:val="00B9753B"/>
    <w:rsid w:val="00BA1833"/>
    <w:rsid w:val="00BA1B14"/>
    <w:rsid w:val="00BA1CA6"/>
    <w:rsid w:val="00BA310B"/>
    <w:rsid w:val="00BA3911"/>
    <w:rsid w:val="00BA731A"/>
    <w:rsid w:val="00BB10C7"/>
    <w:rsid w:val="00BB1D63"/>
    <w:rsid w:val="00BB1DD4"/>
    <w:rsid w:val="00BB5515"/>
    <w:rsid w:val="00BB57A9"/>
    <w:rsid w:val="00BB581C"/>
    <w:rsid w:val="00BC198D"/>
    <w:rsid w:val="00BC1AB2"/>
    <w:rsid w:val="00BC249C"/>
    <w:rsid w:val="00BC2ED9"/>
    <w:rsid w:val="00BC359E"/>
    <w:rsid w:val="00BC7B8A"/>
    <w:rsid w:val="00BD0BC6"/>
    <w:rsid w:val="00BD10C5"/>
    <w:rsid w:val="00BD14A6"/>
    <w:rsid w:val="00BD1896"/>
    <w:rsid w:val="00BD2AB6"/>
    <w:rsid w:val="00BD2BEC"/>
    <w:rsid w:val="00BD2E1B"/>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BA6"/>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32C0"/>
    <w:rsid w:val="00C6445F"/>
    <w:rsid w:val="00C656B4"/>
    <w:rsid w:val="00C66D74"/>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4F3"/>
    <w:rsid w:val="00CA6E54"/>
    <w:rsid w:val="00CA7225"/>
    <w:rsid w:val="00CA77A9"/>
    <w:rsid w:val="00CB549B"/>
    <w:rsid w:val="00CB6CA9"/>
    <w:rsid w:val="00CB791A"/>
    <w:rsid w:val="00CC1151"/>
    <w:rsid w:val="00CC14A3"/>
    <w:rsid w:val="00CC32FA"/>
    <w:rsid w:val="00CC515C"/>
    <w:rsid w:val="00CC771E"/>
    <w:rsid w:val="00CD1EF2"/>
    <w:rsid w:val="00CD32C6"/>
    <w:rsid w:val="00CD6493"/>
    <w:rsid w:val="00CE322E"/>
    <w:rsid w:val="00CE33AD"/>
    <w:rsid w:val="00CE4A42"/>
    <w:rsid w:val="00CE610E"/>
    <w:rsid w:val="00CE6A3B"/>
    <w:rsid w:val="00CE70E0"/>
    <w:rsid w:val="00CE7987"/>
    <w:rsid w:val="00CF1F75"/>
    <w:rsid w:val="00CF2CDD"/>
    <w:rsid w:val="00CF3110"/>
    <w:rsid w:val="00CF37FE"/>
    <w:rsid w:val="00CF5BA7"/>
    <w:rsid w:val="00CF6EFC"/>
    <w:rsid w:val="00D0314D"/>
    <w:rsid w:val="00D05688"/>
    <w:rsid w:val="00D05EB6"/>
    <w:rsid w:val="00D06577"/>
    <w:rsid w:val="00D075EF"/>
    <w:rsid w:val="00D107AA"/>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54188"/>
    <w:rsid w:val="00D638C1"/>
    <w:rsid w:val="00D709D7"/>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7B4"/>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4C7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5B5"/>
    <w:rsid w:val="00E30A86"/>
    <w:rsid w:val="00E313E3"/>
    <w:rsid w:val="00E3345C"/>
    <w:rsid w:val="00E33958"/>
    <w:rsid w:val="00E33DA9"/>
    <w:rsid w:val="00E345A4"/>
    <w:rsid w:val="00E3582A"/>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818"/>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4AFA"/>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3285"/>
    <w:rsid w:val="00F151DA"/>
    <w:rsid w:val="00F162EE"/>
    <w:rsid w:val="00F200C2"/>
    <w:rsid w:val="00F20DE6"/>
    <w:rsid w:val="00F26B81"/>
    <w:rsid w:val="00F307B7"/>
    <w:rsid w:val="00F327EA"/>
    <w:rsid w:val="00F32E42"/>
    <w:rsid w:val="00F354A9"/>
    <w:rsid w:val="00F367B3"/>
    <w:rsid w:val="00F36923"/>
    <w:rsid w:val="00F40D50"/>
    <w:rsid w:val="00F43218"/>
    <w:rsid w:val="00F433FD"/>
    <w:rsid w:val="00F454F8"/>
    <w:rsid w:val="00F4633C"/>
    <w:rsid w:val="00F51376"/>
    <w:rsid w:val="00F52B86"/>
    <w:rsid w:val="00F54264"/>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97ACA"/>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7638"/>
    <w:rsid w:val="00FE1287"/>
    <w:rsid w:val="00FE1D58"/>
    <w:rsid w:val="00FE2047"/>
    <w:rsid w:val="00FE31F0"/>
    <w:rsid w:val="00FF08CD"/>
    <w:rsid w:val="00FF0EAB"/>
    <w:rsid w:val="00FF6879"/>
    <w:rsid w:val="00FF7425"/>
    <w:rsid w:val="0275277F"/>
    <w:rsid w:val="0337AEE3"/>
    <w:rsid w:val="03D1E99D"/>
    <w:rsid w:val="05BBF3CA"/>
    <w:rsid w:val="06328981"/>
    <w:rsid w:val="06897A3E"/>
    <w:rsid w:val="06A36541"/>
    <w:rsid w:val="078C19D1"/>
    <w:rsid w:val="07FB5893"/>
    <w:rsid w:val="08A9DCEC"/>
    <w:rsid w:val="08E20653"/>
    <w:rsid w:val="08FF82AA"/>
    <w:rsid w:val="0A478607"/>
    <w:rsid w:val="0C1167D6"/>
    <w:rsid w:val="0C7285B3"/>
    <w:rsid w:val="0EF847BD"/>
    <w:rsid w:val="0FEDB823"/>
    <w:rsid w:val="1056CD3B"/>
    <w:rsid w:val="1206729B"/>
    <w:rsid w:val="13A7972D"/>
    <w:rsid w:val="14BD641E"/>
    <w:rsid w:val="150BEB0C"/>
    <w:rsid w:val="15184F9D"/>
    <w:rsid w:val="1712EE10"/>
    <w:rsid w:val="17C9C373"/>
    <w:rsid w:val="186BA0BC"/>
    <w:rsid w:val="18728DE7"/>
    <w:rsid w:val="1AF06FEF"/>
    <w:rsid w:val="1B71AFF0"/>
    <w:rsid w:val="2A056BA6"/>
    <w:rsid w:val="2BDAF249"/>
    <w:rsid w:val="2C383192"/>
    <w:rsid w:val="2D0E8A79"/>
    <w:rsid w:val="2F56F7B2"/>
    <w:rsid w:val="31968F46"/>
    <w:rsid w:val="330C4A78"/>
    <w:rsid w:val="33722880"/>
    <w:rsid w:val="350BE172"/>
    <w:rsid w:val="353D789D"/>
    <w:rsid w:val="35BA0DD8"/>
    <w:rsid w:val="368B2507"/>
    <w:rsid w:val="37F2883E"/>
    <w:rsid w:val="3946F685"/>
    <w:rsid w:val="39F8A7DF"/>
    <w:rsid w:val="3A72A992"/>
    <w:rsid w:val="3D3D809A"/>
    <w:rsid w:val="3D981E1E"/>
    <w:rsid w:val="40DEDE49"/>
    <w:rsid w:val="4111B396"/>
    <w:rsid w:val="4187C335"/>
    <w:rsid w:val="418B4A05"/>
    <w:rsid w:val="42EBDE4D"/>
    <w:rsid w:val="43F8EDFD"/>
    <w:rsid w:val="4531C545"/>
    <w:rsid w:val="46655C65"/>
    <w:rsid w:val="47911D65"/>
    <w:rsid w:val="47F38FE6"/>
    <w:rsid w:val="4864F730"/>
    <w:rsid w:val="4A15EC48"/>
    <w:rsid w:val="4B871C0C"/>
    <w:rsid w:val="4C729C82"/>
    <w:rsid w:val="4E254F5D"/>
    <w:rsid w:val="4E2EA32C"/>
    <w:rsid w:val="4F7B3265"/>
    <w:rsid w:val="52AA4229"/>
    <w:rsid w:val="5357A3F2"/>
    <w:rsid w:val="53906C6C"/>
    <w:rsid w:val="54BA0226"/>
    <w:rsid w:val="54C48B70"/>
    <w:rsid w:val="54D56723"/>
    <w:rsid w:val="5906B1B4"/>
    <w:rsid w:val="5FAAD1B6"/>
    <w:rsid w:val="60323CDF"/>
    <w:rsid w:val="613C8602"/>
    <w:rsid w:val="6149DEF9"/>
    <w:rsid w:val="63C23343"/>
    <w:rsid w:val="66E3057A"/>
    <w:rsid w:val="68B23AC4"/>
    <w:rsid w:val="6A3B69B8"/>
    <w:rsid w:val="6B5F0224"/>
    <w:rsid w:val="71C00715"/>
    <w:rsid w:val="7330EC26"/>
    <w:rsid w:val="741C923F"/>
    <w:rsid w:val="762F2B4E"/>
    <w:rsid w:val="76E6E2AF"/>
    <w:rsid w:val="76F534AC"/>
    <w:rsid w:val="785A7BF0"/>
    <w:rsid w:val="79707633"/>
    <w:rsid w:val="799E5D96"/>
    <w:rsid w:val="7B1D2CAE"/>
    <w:rsid w:val="7E6F3C2B"/>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F9D"/>
    <w:pPr>
      <w:spacing w:after="0" w:line="312" w:lineRule="auto"/>
      <w:jc w:val="both"/>
    </w:pPr>
    <w:rPr>
      <w:rFonts w:ascii="Arial" w:hAnsi="Arial" w:eastAsiaTheme="minorEastAsia"/>
      <w:sz w:val="20"/>
      <w:szCs w:val="20"/>
    </w:rPr>
  </w:style>
  <w:style w:type="paragraph" w:styleId="Heading1">
    <w:name w:val="heading 1"/>
    <w:basedOn w:val="Normal"/>
    <w:next w:val="Normal"/>
    <w:link w:val="Heading1Char"/>
    <w:qFormat/>
    <w:rsid w:val="00544905"/>
    <w:pPr>
      <w:keepNext/>
      <w:numPr>
        <w:numId w:val="21"/>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44905"/>
    <w:rPr>
      <w:rFonts w:ascii="Arial" w:hAnsi="Arial" w:cs="Arial"/>
      <w:caps/>
      <w:color w:val="7F7F7F" w:themeColor="text1" w:themeTint="80"/>
      <w:sz w:val="28"/>
      <w:lang w:val="en-GB" w:eastAsia="nl-NL"/>
    </w:rPr>
  </w:style>
  <w:style w:type="character" w:styleId="Heading2Char" w:customStyle="1">
    <w:name w:val="Heading 2 Char"/>
    <w:basedOn w:val="DefaultParagraphFont"/>
    <w:link w:val="Heading2"/>
    <w:rsid w:val="00544905"/>
    <w:rPr>
      <w:rFonts w:ascii="Arial" w:hAnsi="Arial" w:cs="Arial"/>
      <w:color w:val="7F7F7F" w:themeColor="text1" w:themeTint="80"/>
      <w:sz w:val="28"/>
      <w:lang w:val="en-GB" w:eastAsia="nl-NL"/>
    </w:rPr>
  </w:style>
  <w:style w:type="character" w:styleId="Heading3Char" w:customStyle="1">
    <w:name w:val="Heading 3 Char"/>
    <w:basedOn w:val="DefaultParagraphFont"/>
    <w:link w:val="Heading3"/>
    <w:rsid w:val="00544905"/>
    <w:rPr>
      <w:rFonts w:ascii="Arial" w:hAnsi="Arial" w:cs="Arial"/>
      <w:color w:val="7F7F7F" w:themeColor="text1" w:themeTint="80"/>
      <w:lang w:val="en-GB" w:eastAsia="nl-NL"/>
    </w:rPr>
  </w:style>
  <w:style w:type="character" w:styleId="Heading4Char" w:customStyle="1">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styleId="Heading5Char" w:customStyle="1">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styleId="Heading6Char" w:customStyle="1">
    <w:name w:val="Heading 6 Char"/>
    <w:basedOn w:val="DefaultParagraphFont"/>
    <w:link w:val="Heading6"/>
    <w:uiPriority w:val="9"/>
    <w:rsid w:val="00544905"/>
    <w:rPr>
      <w:rFonts w:ascii="Arial" w:hAnsi="Arial" w:eastAsiaTheme="majorEastAsia" w:cstheme="majorBidi"/>
      <w:i/>
      <w:iCs/>
      <w:sz w:val="20"/>
      <w:szCs w:val="20"/>
    </w:rPr>
  </w:style>
  <w:style w:type="character" w:styleId="Heading7Char" w:customStyle="1">
    <w:name w:val="Heading 7 Char"/>
    <w:basedOn w:val="DefaultParagraphFont"/>
    <w:link w:val="Heading7"/>
    <w:uiPriority w:val="9"/>
    <w:rsid w:val="00544905"/>
    <w:rPr>
      <w:rFonts w:asciiTheme="majorHAnsi" w:hAnsiTheme="majorHAnsi" w:eastAsiaTheme="majorEastAsia" w:cstheme="majorBidi"/>
      <w:i/>
      <w:iCs/>
      <w:color w:val="404040" w:themeColor="text1" w:themeTint="BF"/>
      <w:sz w:val="20"/>
      <w:szCs w:val="20"/>
    </w:rPr>
  </w:style>
  <w:style w:type="character" w:styleId="Heading8Char" w:customStyle="1">
    <w:name w:val="Heading 8 Char"/>
    <w:basedOn w:val="DefaultParagraphFont"/>
    <w:link w:val="Heading8"/>
    <w:uiPriority w:val="9"/>
    <w:semiHidden/>
    <w:rsid w:val="00544905"/>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20"/>
      </w:numPr>
      <w:contextualSpacing/>
    </w:pPr>
  </w:style>
  <w:style w:type="character" w:styleId="BulletPointChar" w:customStyle="1">
    <w:name w:val="Bullet Point Char"/>
    <w:basedOn w:val="DefaultParagraphFont"/>
    <w:link w:val="BulletPoint"/>
    <w:rsid w:val="0035143F"/>
    <w:rPr>
      <w:rFonts w:ascii="Arial" w:hAnsi="Arial" w:eastAsiaTheme="minorEastAsia"/>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712187"/>
    <w:pPr>
      <w:spacing w:before="2268" w:after="300"/>
      <w:contextualSpacing/>
      <w:jc w:val="center"/>
    </w:pPr>
    <w:rPr>
      <w:rFonts w:eastAsiaTheme="majorEastAsia" w:cstheme="majorBidi"/>
      <w:color w:val="0100FE"/>
      <w:spacing w:val="5"/>
      <w:kern w:val="28"/>
      <w:sz w:val="56"/>
      <w:szCs w:val="52"/>
      <w:lang w:val="en-GB"/>
    </w:rPr>
  </w:style>
  <w:style w:type="character" w:styleId="TitleChar" w:customStyle="1">
    <w:name w:val="Title Char"/>
    <w:basedOn w:val="DefaultParagraphFont"/>
    <w:link w:val="Title"/>
    <w:uiPriority w:val="10"/>
    <w:rsid w:val="00712187"/>
    <w:rPr>
      <w:rFonts w:ascii="Arial" w:hAnsi="Arial" w:eastAsiaTheme="majorEastAsia"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23"/>
      </w:numPr>
      <w:contextualSpacing/>
    </w:pPr>
    <w:rPr>
      <w:rFonts w:cs="Arial"/>
      <w:bCs/>
      <w:szCs w:val="22"/>
      <w:lang w:val="en-GB"/>
    </w:rPr>
  </w:style>
  <w:style w:type="character" w:styleId="ListParagraphChar" w:customStyle="1">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34"/>
    <w:qFormat/>
    <w:locked/>
    <w:rsid w:val="00544905"/>
    <w:rPr>
      <w:rFonts w:ascii="Arial" w:hAnsi="Arial" w:cs="Arial" w:eastAsiaTheme="minorEastAsia"/>
      <w:bCs/>
      <w:sz w:val="20"/>
      <w:lang w:val="en-GB"/>
    </w:rPr>
  </w:style>
  <w:style w:type="paragraph" w:styleId="Numbering" w:customStyle="1">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FootnoteText">
    <w:name w:val="footnote text"/>
    <w:basedOn w:val="Normal"/>
    <w:link w:val="FootnoteTextChar"/>
    <w:autoRedefine/>
    <w:rsid w:val="00544905"/>
    <w:rPr>
      <w:lang w:val="en-GB"/>
    </w:rPr>
  </w:style>
  <w:style w:type="character" w:styleId="FootnoteTextChar" w:customStyle="1">
    <w:name w:val="Footnote Text Char"/>
    <w:basedOn w:val="DefaultParagraphFont"/>
    <w:link w:val="FootnoteText"/>
    <w:rsid w:val="00544905"/>
    <w:rPr>
      <w:rFonts w:ascii="Arial" w:hAnsi="Arial" w:eastAsiaTheme="minorEastAsia"/>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SubtitleChar" w:customStyle="1">
    <w:name w:val="Subtitle Char"/>
    <w:basedOn w:val="DefaultParagraphFont"/>
    <w:link w:val="Subtitle"/>
    <w:uiPriority w:val="11"/>
    <w:rsid w:val="002B27D1"/>
    <w:rPr>
      <w:rFonts w:asciiTheme="majorHAnsi" w:hAnsiTheme="majorHAnsi" w:eastAsiaTheme="majorEastAsia"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styleId="QuoteChar" w:customStyle="1">
    <w:name w:val="Quote Char"/>
    <w:basedOn w:val="DefaultParagraphFont"/>
    <w:link w:val="Quote"/>
    <w:uiPriority w:val="29"/>
    <w:rsid w:val="00544905"/>
    <w:rPr>
      <w:rFonts w:ascii="Arial" w:hAnsi="Arial" w:eastAsiaTheme="minorEastAsia"/>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styleId="NoSpacingChar" w:customStyle="1">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styleId="HeaderChar" w:customStyle="1">
    <w:name w:val="Header Char"/>
    <w:basedOn w:val="DefaultParagraphFont"/>
    <w:link w:val="Header"/>
    <w:uiPriority w:val="99"/>
    <w:rsid w:val="00544905"/>
    <w:rPr>
      <w:rFonts w:ascii="Arial" w:hAnsi="Arial" w:eastAsiaTheme="minorEastAsia"/>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styleId="FooterChar" w:customStyle="1">
    <w:name w:val="Footer Char"/>
    <w:basedOn w:val="DefaultParagraphFont"/>
    <w:link w:val="Footer"/>
    <w:uiPriority w:val="99"/>
    <w:rsid w:val="00544905"/>
    <w:rPr>
      <w:rFonts w:ascii="Arial" w:hAnsi="Arial" w:eastAsiaTheme="minorEastAsia"/>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4905"/>
    <w:rPr>
      <w:rFonts w:ascii="Tahoma" w:hAnsi="Tahoma" w:cs="Tahoma" w:eastAsiaTheme="minorEastAsia"/>
      <w:sz w:val="16"/>
      <w:szCs w:val="16"/>
    </w:rPr>
  </w:style>
  <w:style w:type="table" w:styleId="TableGrid">
    <w:name w:val="Table Grid"/>
    <w:basedOn w:val="TableNormal"/>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544905"/>
    <w:rPr>
      <w:sz w:val="16"/>
      <w:szCs w:val="16"/>
    </w:rPr>
  </w:style>
  <w:style w:type="paragraph" w:styleId="CommentText">
    <w:name w:val="Comment Text"/>
    <w:basedOn w:val="Normal"/>
    <w:link w:val="CommentTextChar"/>
    <w:uiPriority w:val="99"/>
    <w:unhideWhenUsed/>
    <w:rsid w:val="00544905"/>
    <w:pPr>
      <w:spacing w:line="240" w:lineRule="auto"/>
    </w:pPr>
  </w:style>
  <w:style w:type="character" w:styleId="CommentTextChar" w:customStyle="1">
    <w:name w:val="Comment Text Char"/>
    <w:basedOn w:val="DefaultParagraphFont"/>
    <w:link w:val="CommentText"/>
    <w:uiPriority w:val="99"/>
    <w:rsid w:val="00544905"/>
    <w:rPr>
      <w:rFonts w:ascii="Arial" w:hAnsi="Arial" w:eastAsiaTheme="minorEastAsia"/>
      <w:sz w:val="20"/>
      <w:szCs w:val="20"/>
    </w:rPr>
  </w:style>
  <w:style w:type="paragraph" w:styleId="CommentSubject">
    <w:name w:val="Comment Subject"/>
    <w:basedOn w:val="CommentText"/>
    <w:next w:val="CommentText"/>
    <w:link w:val="CommentSubjectChar"/>
    <w:uiPriority w:val="99"/>
    <w:semiHidden/>
    <w:unhideWhenUsed/>
    <w:rsid w:val="00544905"/>
    <w:rPr>
      <w:b/>
      <w:bCs/>
    </w:rPr>
  </w:style>
  <w:style w:type="character" w:styleId="CommentSubjectChar" w:customStyle="1">
    <w:name w:val="Comment Subject Char"/>
    <w:basedOn w:val="CommentTextChar"/>
    <w:link w:val="CommentSubject"/>
    <w:uiPriority w:val="99"/>
    <w:semiHidden/>
    <w:rsid w:val="00544905"/>
    <w:rPr>
      <w:rFonts w:ascii="Arial" w:hAnsi="Arial" w:eastAsiaTheme="minorEastAsia"/>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544905"/>
    <w:rPr>
      <w:rFonts w:ascii="Times New Roman" w:hAnsi="Times New Roman" w:cs="Times New Roman" w:eastAsiaTheme="minorEastAsia"/>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DefaultParagraphFont"/>
    <w:uiPriority w:val="99"/>
    <w:semiHidden/>
    <w:unhideWhenUsed/>
    <w:rsid w:val="00B917C5"/>
    <w:rPr>
      <w:color w:val="808080"/>
      <w:shd w:val="clear" w:color="auto" w:fill="E6E6E6"/>
    </w:rPr>
  </w:style>
  <w:style w:type="table" w:styleId="GridTable41" w:customStyle="1">
    <w:name w:val="Grid Table 41"/>
    <w:basedOn w:val="TableNormal"/>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DefaultParagraphFont"/>
    <w:uiPriority w:val="99"/>
    <w:rsid w:val="00544905"/>
    <w:rPr>
      <w:rFonts w:cs="Times New Roman"/>
    </w:rPr>
  </w:style>
  <w:style w:type="paragraph" w:styleId="BalloonText1" w:customStyle="1">
    <w:name w:val="Balloon Text1"/>
    <w:basedOn w:val="Normal"/>
    <w:uiPriority w:val="99"/>
    <w:semiHidden/>
    <w:rsid w:val="00544905"/>
    <w:rPr>
      <w:rFonts w:ascii="Tahoma" w:hAnsi="Tahoma" w:cs="Tahoma"/>
      <w:sz w:val="16"/>
      <w:szCs w:val="16"/>
    </w:rPr>
  </w:style>
  <w:style w:type="paragraph" w:styleId="BalloonText2" w:customStyle="1">
    <w:name w:val="Balloon Text2"/>
    <w:basedOn w:val="Normal"/>
    <w:uiPriority w:val="99"/>
    <w:semiHidden/>
    <w:rsid w:val="00544905"/>
    <w:rPr>
      <w:rFonts w:ascii="Tahoma" w:hAnsi="Tahoma" w:cs="Tahoma"/>
      <w:sz w:val="16"/>
      <w:szCs w:val="16"/>
    </w:rPr>
  </w:style>
  <w:style w:type="paragraph" w:styleId="BalloonText3" w:customStyle="1">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styleId="BodyTextChar" w:customStyle="1">
    <w:name w:val="Body Text Char"/>
    <w:basedOn w:val="DefaultParagraphFont"/>
    <w:link w:val="BodyText"/>
    <w:uiPriority w:val="99"/>
    <w:rsid w:val="00544905"/>
    <w:rPr>
      <w:rFonts w:ascii="Arial" w:hAnsi="Arial" w:eastAsiaTheme="minorEastAsia"/>
      <w:sz w:val="20"/>
      <w:szCs w:val="20"/>
    </w:rPr>
  </w:style>
  <w:style w:type="paragraph" w:styleId="BodyText2">
    <w:name w:val="Body Text 2"/>
    <w:basedOn w:val="Normal"/>
    <w:link w:val="BodyText2Char"/>
    <w:uiPriority w:val="99"/>
    <w:rsid w:val="00544905"/>
  </w:style>
  <w:style w:type="character" w:styleId="BodyText2Char" w:customStyle="1">
    <w:name w:val="Body Text 2 Char"/>
    <w:basedOn w:val="DefaultParagraphFont"/>
    <w:link w:val="BodyText2"/>
    <w:uiPriority w:val="99"/>
    <w:rsid w:val="00544905"/>
    <w:rPr>
      <w:rFonts w:ascii="Arial" w:hAnsi="Arial" w:eastAsiaTheme="minorEastAsia"/>
      <w:sz w:val="20"/>
      <w:szCs w:val="20"/>
    </w:rPr>
  </w:style>
  <w:style w:type="paragraph" w:styleId="BodyText3">
    <w:name w:val="Body Text 3"/>
    <w:basedOn w:val="Normal"/>
    <w:link w:val="BodyText3Char"/>
    <w:uiPriority w:val="99"/>
    <w:rsid w:val="00544905"/>
    <w:pPr>
      <w:jc w:val="center"/>
    </w:pPr>
    <w:rPr>
      <w:sz w:val="16"/>
      <w:szCs w:val="16"/>
    </w:rPr>
  </w:style>
  <w:style w:type="character" w:styleId="BodyText3Char" w:customStyle="1">
    <w:name w:val="Body Text 3 Char"/>
    <w:basedOn w:val="DefaultParagraphFont"/>
    <w:link w:val="BodyText3"/>
    <w:uiPriority w:val="99"/>
    <w:rsid w:val="00544905"/>
    <w:rPr>
      <w:rFonts w:ascii="Arial" w:hAnsi="Arial" w:eastAsiaTheme="minorEastAsia"/>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styleId="BodyTextIndentChar" w:customStyle="1">
    <w:name w:val="Body Text Indent Char"/>
    <w:basedOn w:val="DefaultParagraphFont"/>
    <w:link w:val="BodyTextIndent"/>
    <w:uiPriority w:val="99"/>
    <w:rsid w:val="00544905"/>
    <w:rPr>
      <w:rFonts w:ascii="Arial" w:hAnsi="Arial" w:eastAsiaTheme="minorEastAsia"/>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styleId="BodyTextIndent2Char" w:customStyle="1">
    <w:name w:val="Body Text Indent 2 Char"/>
    <w:basedOn w:val="DefaultParagraphFont"/>
    <w:link w:val="BodyTextIndent2"/>
    <w:uiPriority w:val="99"/>
    <w:rsid w:val="00544905"/>
    <w:rPr>
      <w:rFonts w:ascii="Arial" w:hAnsi="Arial" w:eastAsiaTheme="minorEastAsia"/>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styleId="BodyTextIndent3Char" w:customStyle="1">
    <w:name w:val="Body Text Indent 3 Char"/>
    <w:basedOn w:val="DefaultParagraphFont"/>
    <w:link w:val="BodyTextIndent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CommentText"/>
    <w:next w:val="CommentText"/>
    <w:uiPriority w:val="99"/>
    <w:semiHidden/>
    <w:rsid w:val="00544905"/>
    <w:rPr>
      <w:b/>
      <w:bCs/>
    </w:rPr>
  </w:style>
  <w:style w:type="paragraph" w:styleId="CommentSubject2" w:customStyle="1">
    <w:name w:val="Comment Subject2"/>
    <w:basedOn w:val="CommentText"/>
    <w:next w:val="CommentText"/>
    <w:uiPriority w:val="99"/>
    <w:semiHidden/>
    <w:rsid w:val="00544905"/>
    <w:rPr>
      <w:b/>
      <w:bCs/>
    </w:rPr>
  </w:style>
  <w:style w:type="paragraph" w:styleId="CommentSubject3" w:customStyle="1">
    <w:name w:val="Comment Subject3"/>
    <w:basedOn w:val="CommentText"/>
    <w:next w:val="CommentText"/>
    <w:uiPriority w:val="99"/>
    <w:semiHidden/>
    <w:rsid w:val="00544905"/>
    <w:rPr>
      <w:b/>
      <w:bCs/>
    </w:rPr>
  </w:style>
  <w:style w:type="paragraph" w:styleId="CommentSubject4" w:customStyle="1">
    <w:name w:val="Comment Subject4"/>
    <w:basedOn w:val="CommentText"/>
    <w:next w:val="CommentText"/>
    <w:uiPriority w:val="99"/>
    <w:semiHidden/>
    <w:rsid w:val="00544905"/>
    <w:rPr>
      <w:b/>
      <w:bCs/>
    </w:rPr>
  </w:style>
  <w:style w:type="paragraph" w:styleId="CommentSubject5" w:customStyle="1">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styleId="DateChar" w:customStyle="1">
    <w:name w:val="Date Char"/>
    <w:basedOn w:val="DefaultParagraphFont"/>
    <w:link w:val="Date"/>
    <w:uiPriority w:val="99"/>
    <w:rsid w:val="00544905"/>
    <w:rPr>
      <w:rFonts w:ascii="Arial" w:hAnsi="Arial" w:eastAsiaTheme="minorEastAsia"/>
      <w:sz w:val="20"/>
      <w:szCs w:val="20"/>
    </w:rPr>
  </w:style>
  <w:style w:type="table" w:styleId="TableauGrille41" w:customStyle="1">
    <w:name w:val="Tableau Grille 41"/>
    <w:basedOn w:val="TableNormal"/>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al"/>
    <w:link w:val="HelleListe-Akzent51Char"/>
    <w:uiPriority w:val="34"/>
    <w:qFormat/>
    <w:rsid w:val="00544905"/>
    <w:pPr>
      <w:numPr>
        <w:numId w:val="22"/>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CommentText"/>
    <w:next w:val="CommentText"/>
    <w:uiPriority w:val="99"/>
    <w:semiHidden/>
    <w:rsid w:val="00544905"/>
    <w:rPr>
      <w:b/>
      <w:bCs/>
    </w:rPr>
  </w:style>
  <w:style w:type="table" w:styleId="TableauListe1Clair1" w:customStyle="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al"/>
    <w:uiPriority w:val="99"/>
    <w:rsid w:val="00544905"/>
    <w:pPr>
      <w:ind w:left="720"/>
    </w:pPr>
    <w:rPr>
      <w:rFonts w:ascii="Trebuchet MS" w:hAnsi="Trebuchet MS"/>
    </w:rPr>
  </w:style>
  <w:style w:type="paragraph" w:styleId="Sprechblasentext1" w:customStyle="1">
    <w:name w:val="Sprechblasentext1"/>
    <w:basedOn w:val="Normal"/>
    <w:uiPriority w:val="99"/>
    <w:semiHidden/>
    <w:rsid w:val="00544905"/>
    <w:rPr>
      <w:rFonts w:ascii="Tahoma" w:hAnsi="Tahoma" w:cs="Tahoma"/>
      <w:sz w:val="16"/>
      <w:szCs w:val="16"/>
    </w:rPr>
  </w:style>
  <w:style w:type="paragraph" w:styleId="Sprechblasentext2" w:customStyle="1">
    <w:name w:val="Sprechblasentext2"/>
    <w:basedOn w:val="Normal"/>
    <w:uiPriority w:val="99"/>
    <w:semiHidden/>
    <w:rsid w:val="00544905"/>
    <w:rPr>
      <w:rFonts w:ascii="Tahoma" w:hAnsi="Tahoma" w:cs="Tahoma"/>
      <w:sz w:val="16"/>
      <w:szCs w:val="16"/>
    </w:rPr>
  </w:style>
  <w:style w:type="table" w:styleId="TableGridLight1" w:customStyle="1">
    <w:name w:val="Table Grid Light1"/>
    <w:basedOn w:val="TableNormal"/>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al"/>
    <w:uiPriority w:val="99"/>
    <w:semiHidden/>
    <w:rsid w:val="00544905"/>
    <w:rPr>
      <w:rFonts w:ascii="Tahoma" w:hAnsi="Tahoma" w:cs="Tahoma"/>
      <w:sz w:val="16"/>
      <w:szCs w:val="16"/>
    </w:rPr>
  </w:style>
  <w:style w:type="paragraph" w:styleId="Textedebulles2" w:customStyle="1">
    <w:name w:val="Texte de bulles2"/>
    <w:basedOn w:val="Normal"/>
    <w:uiPriority w:val="99"/>
    <w:semiHidden/>
    <w:rsid w:val="00544905"/>
    <w:rPr>
      <w:rFonts w:ascii="Tahoma" w:hAnsi="Tahoma" w:cs="Tahoma"/>
      <w:sz w:val="16"/>
      <w:szCs w:val="16"/>
    </w:rPr>
  </w:style>
  <w:style w:type="character" w:styleId="UnresolvedMention2" w:customStyle="1">
    <w:name w:val="Unresolved Mention2"/>
    <w:basedOn w:val="DefaultParagraphFont"/>
    <w:uiPriority w:val="99"/>
    <w:semiHidden/>
    <w:unhideWhenUsed/>
    <w:rsid w:val="00544905"/>
    <w:rPr>
      <w:color w:val="808080"/>
      <w:shd w:val="clear" w:color="auto" w:fill="E6E6E6"/>
    </w:rPr>
  </w:style>
  <w:style w:type="table" w:styleId="TableauListe7Couleur1" w:customStyle="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al"/>
    <w:rsid w:val="00167F46"/>
    <w:pPr>
      <w:spacing w:before="60" w:after="240"/>
    </w:pPr>
    <w:rPr>
      <w:rFonts w:ascii="Verdana" w:hAnsi="Verdana" w:eastAsia="Times New Roman"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322C05-9AC8-4377-BEB1-7F74B121573D}">
  <ds:schemaRefs>
    <ds:schemaRef ds:uri="http://schemas.microsoft.com/sharepoint/v3/contenttype/forms"/>
  </ds:schemaRefs>
</ds:datastoreItem>
</file>

<file path=customXml/itemProps2.xml><?xml version="1.0" encoding="utf-8"?>
<ds:datastoreItem xmlns:ds="http://schemas.openxmlformats.org/officeDocument/2006/customXml" ds:itemID="{E1763A49-4BE2-4FBC-9682-55885B4E1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06474-D0F3-42D0-B06F-D970565A8A98}">
  <ds:schemaRefs>
    <ds:schemaRef ds:uri="http://schemas.openxmlformats.org/officeDocument/2006/bibliography"/>
  </ds:schemaRefs>
</ds:datastoreItem>
</file>

<file path=customXml/itemProps4.xml><?xml version="1.0" encoding="utf-8"?>
<ds:datastoreItem xmlns:ds="http://schemas.openxmlformats.org/officeDocument/2006/customXml" ds:itemID="{DC42B958-E845-4235-8539-CDEA8F4B172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Thomas Altmann</lastModifiedBy>
  <revision>57</revision>
  <dcterms:created xsi:type="dcterms:W3CDTF">2024-11-07T16:25:00.0000000Z</dcterms:created>
  <dcterms:modified xsi:type="dcterms:W3CDTF">2026-03-19T08:03:25.1952020Z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